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82F06" w14:textId="3FC37C1A" w:rsidR="003D6EAC" w:rsidRPr="00D47EA5" w:rsidRDefault="003D6EAC" w:rsidP="003D6EAC">
      <w:pPr>
        <w:pStyle w:val="Appendix1"/>
        <w:numPr>
          <w:ilvl w:val="0"/>
          <w:numId w:val="0"/>
        </w:numPr>
        <w:ind w:left="851" w:hanging="851"/>
        <w:rPr>
          <w:rFonts w:ascii="Arial" w:hAnsi="Arial" w:cs="Arial"/>
          <w:szCs w:val="32"/>
        </w:rPr>
      </w:pPr>
      <w:bookmarkStart w:id="0" w:name="_Toc142479533"/>
      <w:bookmarkStart w:id="1" w:name="_Toc231280184"/>
      <w:r w:rsidRPr="00D47EA5">
        <w:rPr>
          <w:rFonts w:ascii="Arial" w:hAnsi="Arial" w:cs="Arial"/>
          <w:szCs w:val="32"/>
        </w:rPr>
        <w:t xml:space="preserve">Appendix </w:t>
      </w:r>
      <w:r w:rsidR="006F7153" w:rsidRPr="00D47EA5">
        <w:rPr>
          <w:rFonts w:ascii="Arial" w:hAnsi="Arial" w:cs="Arial"/>
          <w:szCs w:val="32"/>
        </w:rPr>
        <w:t>A</w:t>
      </w:r>
      <w:r w:rsidRPr="00D47EA5">
        <w:rPr>
          <w:rFonts w:ascii="Arial" w:hAnsi="Arial" w:cs="Arial"/>
          <w:szCs w:val="32"/>
        </w:rPr>
        <w:t>: Submission</w:t>
      </w:r>
      <w:bookmarkEnd w:id="0"/>
      <w:r w:rsidRPr="00D47EA5">
        <w:rPr>
          <w:rFonts w:ascii="Arial" w:hAnsi="Arial" w:cs="Arial"/>
          <w:szCs w:val="32"/>
        </w:rPr>
        <w:t xml:space="preserve"> form</w:t>
      </w:r>
      <w:bookmarkEnd w:id="1"/>
    </w:p>
    <w:p w14:paraId="22CC2BA1" w14:textId="66D84835" w:rsidR="00296BF0" w:rsidRPr="00296BF0" w:rsidRDefault="00296BF0" w:rsidP="00296BF0">
      <w:pPr>
        <w:rPr>
          <w:rFonts w:ascii="Arial" w:hAnsi="Arial" w:cs="Arial"/>
          <w:b/>
          <w:bCs/>
          <w:sz w:val="22"/>
          <w:szCs w:val="22"/>
        </w:rPr>
      </w:pPr>
      <w:r w:rsidRPr="00296BF0">
        <w:rPr>
          <w:rFonts w:ascii="Arial" w:hAnsi="Arial" w:cs="Arial"/>
          <w:b/>
          <w:bCs/>
          <w:sz w:val="22"/>
          <w:szCs w:val="22"/>
        </w:rPr>
        <w:t>Transmission Pricing Methodology</w:t>
      </w:r>
      <w:r w:rsidR="007140DC">
        <w:rPr>
          <w:rFonts w:ascii="Arial" w:hAnsi="Arial" w:cs="Arial"/>
          <w:b/>
          <w:bCs/>
          <w:sz w:val="22"/>
          <w:szCs w:val="22"/>
        </w:rPr>
        <w:t xml:space="preserve"> amendments 2026</w:t>
      </w:r>
    </w:p>
    <w:p w14:paraId="16CE2358" w14:textId="2EDD68FE" w:rsidR="0066133C" w:rsidRPr="00296BF0" w:rsidRDefault="0066133C" w:rsidP="00296BF0">
      <w:pPr>
        <w:rPr>
          <w:rFonts w:ascii="Arial" w:hAnsi="Arial" w:cs="Arial"/>
          <w:sz w:val="22"/>
          <w:szCs w:val="22"/>
        </w:rPr>
      </w:pPr>
      <w:r w:rsidRPr="00296BF0">
        <w:rPr>
          <w:rFonts w:ascii="Arial" w:hAnsi="Arial" w:cs="Arial"/>
          <w:sz w:val="22"/>
          <w:szCs w:val="22"/>
        </w:rPr>
        <w:t xml:space="preserve">Please email your submission to </w:t>
      </w:r>
      <w:hyperlink r:id="rId13" w:history="1">
        <w:r w:rsidRPr="00296BF0">
          <w:rPr>
            <w:rStyle w:val="Hyperlink"/>
            <w:rFonts w:ascii="Arial" w:hAnsi="Arial" w:cs="Arial"/>
            <w:sz w:val="22"/>
            <w:szCs w:val="22"/>
          </w:rPr>
          <w:t>networkpricing@ea.govt.nz</w:t>
        </w:r>
      </w:hyperlink>
      <w:r w:rsidRPr="00296BF0">
        <w:rPr>
          <w:rFonts w:ascii="Arial" w:hAnsi="Arial" w:cs="Arial"/>
          <w:sz w:val="22"/>
          <w:szCs w:val="22"/>
        </w:rPr>
        <w:t xml:space="preserve"> by 5pm, </w:t>
      </w:r>
      <w:r w:rsidR="00D47EA5">
        <w:rPr>
          <w:rFonts w:ascii="Arial" w:hAnsi="Arial" w:cs="Arial"/>
          <w:sz w:val="22"/>
          <w:szCs w:val="22"/>
        </w:rPr>
        <w:t>24 July 2026.</w:t>
      </w:r>
    </w:p>
    <w:tbl>
      <w:tblPr>
        <w:tblStyle w:val="TableGrid"/>
        <w:tblW w:w="9634" w:type="dxa"/>
        <w:tblLook w:val="04A0" w:firstRow="1" w:lastRow="0" w:firstColumn="1" w:lastColumn="0" w:noHBand="0" w:noVBand="1"/>
      </w:tblPr>
      <w:tblGrid>
        <w:gridCol w:w="639"/>
        <w:gridCol w:w="3892"/>
        <w:gridCol w:w="5103"/>
      </w:tblGrid>
      <w:tr w:rsidR="005664BE" w:rsidRPr="00296BF0" w14:paraId="6C78986A" w14:textId="77777777" w:rsidTr="00296BF0">
        <w:tc>
          <w:tcPr>
            <w:tcW w:w="639" w:type="dxa"/>
            <w:shd w:val="clear" w:color="auto" w:fill="DAE9F7" w:themeFill="text2" w:themeFillTint="1A"/>
          </w:tcPr>
          <w:p w14:paraId="3E11DFED" w14:textId="090C26AB" w:rsidR="005664BE" w:rsidRPr="00296BF0" w:rsidRDefault="005664BE">
            <w:pPr>
              <w:rPr>
                <w:rFonts w:ascii="Arial" w:hAnsi="Arial" w:cs="Arial"/>
                <w:b/>
                <w:bCs/>
                <w:sz w:val="22"/>
                <w:szCs w:val="22"/>
              </w:rPr>
            </w:pPr>
            <w:r w:rsidRPr="00296BF0">
              <w:rPr>
                <w:rFonts w:ascii="Arial" w:hAnsi="Arial" w:cs="Arial"/>
                <w:b/>
                <w:bCs/>
                <w:sz w:val="22"/>
                <w:szCs w:val="22"/>
              </w:rPr>
              <w:t>#</w:t>
            </w:r>
          </w:p>
        </w:tc>
        <w:tc>
          <w:tcPr>
            <w:tcW w:w="3892" w:type="dxa"/>
            <w:shd w:val="clear" w:color="auto" w:fill="DAE9F7" w:themeFill="text2" w:themeFillTint="1A"/>
          </w:tcPr>
          <w:p w14:paraId="40842BA8" w14:textId="4CB7B119" w:rsidR="005664BE" w:rsidRPr="00296BF0" w:rsidRDefault="005664BE">
            <w:pPr>
              <w:rPr>
                <w:rFonts w:ascii="Arial" w:hAnsi="Arial" w:cs="Arial"/>
                <w:b/>
                <w:bCs/>
                <w:sz w:val="22"/>
                <w:szCs w:val="22"/>
              </w:rPr>
            </w:pPr>
            <w:r w:rsidRPr="00296BF0">
              <w:rPr>
                <w:rFonts w:ascii="Arial" w:hAnsi="Arial" w:cs="Arial"/>
                <w:b/>
                <w:bCs/>
                <w:sz w:val="22"/>
                <w:szCs w:val="22"/>
              </w:rPr>
              <w:t>Question</w:t>
            </w:r>
          </w:p>
        </w:tc>
        <w:tc>
          <w:tcPr>
            <w:tcW w:w="5103" w:type="dxa"/>
            <w:shd w:val="clear" w:color="auto" w:fill="DAE9F7" w:themeFill="text2" w:themeFillTint="1A"/>
          </w:tcPr>
          <w:p w14:paraId="298B9FA7" w14:textId="40409EC4" w:rsidR="005664BE" w:rsidRPr="00296BF0" w:rsidRDefault="005664BE">
            <w:pPr>
              <w:rPr>
                <w:rFonts w:ascii="Arial" w:hAnsi="Arial" w:cs="Arial"/>
                <w:b/>
                <w:bCs/>
                <w:sz w:val="22"/>
                <w:szCs w:val="22"/>
              </w:rPr>
            </w:pPr>
            <w:r w:rsidRPr="00296BF0">
              <w:rPr>
                <w:rFonts w:ascii="Arial" w:hAnsi="Arial" w:cs="Arial"/>
                <w:b/>
                <w:bCs/>
                <w:sz w:val="22"/>
                <w:szCs w:val="22"/>
              </w:rPr>
              <w:t>Response</w:t>
            </w:r>
          </w:p>
        </w:tc>
      </w:tr>
      <w:tr w:rsidR="00AD25C9" w:rsidRPr="00296BF0" w14:paraId="5E54B2D9" w14:textId="77777777" w:rsidTr="00E30696">
        <w:tc>
          <w:tcPr>
            <w:tcW w:w="9634" w:type="dxa"/>
            <w:gridSpan w:val="3"/>
            <w:shd w:val="clear" w:color="auto" w:fill="F2F2F2" w:themeFill="background1" w:themeFillShade="F2"/>
          </w:tcPr>
          <w:p w14:paraId="66B2397F" w14:textId="64B3514C" w:rsidR="00AD25C9" w:rsidRPr="00296BF0" w:rsidRDefault="00AD25C9" w:rsidP="00BD0F03">
            <w:pPr>
              <w:rPr>
                <w:rFonts w:ascii="Arial" w:hAnsi="Arial" w:cs="Arial"/>
                <w:b/>
                <w:bCs/>
                <w:sz w:val="22"/>
                <w:szCs w:val="22"/>
              </w:rPr>
            </w:pPr>
            <w:r w:rsidRPr="00296BF0">
              <w:rPr>
                <w:rFonts w:ascii="Arial" w:hAnsi="Arial" w:cs="Arial"/>
                <w:b/>
                <w:bCs/>
                <w:sz w:val="22"/>
                <w:szCs w:val="22"/>
              </w:rPr>
              <w:t>Chapter 3</w:t>
            </w:r>
            <w:r w:rsidR="009B1128" w:rsidRPr="00296BF0">
              <w:rPr>
                <w:rFonts w:ascii="Arial" w:hAnsi="Arial" w:cs="Arial"/>
                <w:b/>
                <w:bCs/>
                <w:sz w:val="22"/>
                <w:szCs w:val="22"/>
              </w:rPr>
              <w:t>:</w:t>
            </w:r>
            <w:r w:rsidRPr="00296BF0">
              <w:rPr>
                <w:rFonts w:ascii="Arial" w:hAnsi="Arial" w:cs="Arial"/>
                <w:b/>
                <w:bCs/>
                <w:sz w:val="22"/>
                <w:szCs w:val="22"/>
              </w:rPr>
              <w:t xml:space="preserve"> Context and approach</w:t>
            </w:r>
          </w:p>
        </w:tc>
      </w:tr>
      <w:tr w:rsidR="005664BE" w:rsidRPr="00296BF0" w14:paraId="28535EDF" w14:textId="77777777" w:rsidTr="00296BF0">
        <w:tc>
          <w:tcPr>
            <w:tcW w:w="639" w:type="dxa"/>
          </w:tcPr>
          <w:p w14:paraId="79B437EA" w14:textId="70748C53" w:rsidR="005664BE" w:rsidRPr="00296BF0" w:rsidRDefault="005664BE">
            <w:pPr>
              <w:rPr>
                <w:rFonts w:ascii="Arial" w:hAnsi="Arial" w:cs="Arial"/>
                <w:sz w:val="22"/>
                <w:szCs w:val="22"/>
              </w:rPr>
            </w:pPr>
            <w:r w:rsidRPr="00296BF0">
              <w:rPr>
                <w:rFonts w:ascii="Arial" w:hAnsi="Arial" w:cs="Arial"/>
                <w:sz w:val="22"/>
                <w:szCs w:val="22"/>
              </w:rPr>
              <w:t>1</w:t>
            </w:r>
          </w:p>
        </w:tc>
        <w:tc>
          <w:tcPr>
            <w:tcW w:w="3892" w:type="dxa"/>
          </w:tcPr>
          <w:p w14:paraId="697C1709" w14:textId="08BB6890" w:rsidR="005664BE" w:rsidRPr="00296BF0" w:rsidRDefault="00047836">
            <w:pPr>
              <w:rPr>
                <w:rFonts w:ascii="Arial" w:hAnsi="Arial" w:cs="Arial"/>
                <w:sz w:val="22"/>
                <w:szCs w:val="22"/>
              </w:rPr>
            </w:pPr>
            <w:r w:rsidRPr="00296BF0">
              <w:rPr>
                <w:rFonts w:ascii="Arial" w:hAnsi="Arial" w:cs="Arial"/>
                <w:sz w:val="22"/>
                <w:szCs w:val="22"/>
              </w:rPr>
              <w:t>Do you agree with the assessment approach and criteria set out in this chapter? Please explain your reasons.</w:t>
            </w:r>
          </w:p>
        </w:tc>
        <w:tc>
          <w:tcPr>
            <w:tcW w:w="5103" w:type="dxa"/>
          </w:tcPr>
          <w:p w14:paraId="588CB046" w14:textId="77777777" w:rsidR="005664BE" w:rsidRPr="00296BF0" w:rsidRDefault="005664BE">
            <w:pPr>
              <w:rPr>
                <w:rFonts w:ascii="Arial" w:hAnsi="Arial" w:cs="Arial"/>
                <w:sz w:val="22"/>
                <w:szCs w:val="22"/>
              </w:rPr>
            </w:pPr>
          </w:p>
        </w:tc>
      </w:tr>
      <w:tr w:rsidR="005664BE" w:rsidRPr="00296BF0" w14:paraId="384137D2" w14:textId="77777777" w:rsidTr="00296BF0">
        <w:tc>
          <w:tcPr>
            <w:tcW w:w="639" w:type="dxa"/>
          </w:tcPr>
          <w:p w14:paraId="41AFAADA" w14:textId="42384370" w:rsidR="005664BE" w:rsidRPr="00296BF0" w:rsidRDefault="005664BE">
            <w:pPr>
              <w:rPr>
                <w:rFonts w:ascii="Arial" w:hAnsi="Arial" w:cs="Arial"/>
                <w:sz w:val="22"/>
                <w:szCs w:val="22"/>
              </w:rPr>
            </w:pPr>
            <w:r w:rsidRPr="00296BF0">
              <w:rPr>
                <w:rFonts w:ascii="Arial" w:hAnsi="Arial" w:cs="Arial"/>
                <w:sz w:val="22"/>
                <w:szCs w:val="22"/>
              </w:rPr>
              <w:t>2</w:t>
            </w:r>
          </w:p>
        </w:tc>
        <w:tc>
          <w:tcPr>
            <w:tcW w:w="3892" w:type="dxa"/>
          </w:tcPr>
          <w:p w14:paraId="216B6B01" w14:textId="7EB6C508" w:rsidR="005664BE" w:rsidRPr="00296BF0" w:rsidRDefault="00574967">
            <w:pPr>
              <w:rPr>
                <w:rFonts w:ascii="Arial" w:hAnsi="Arial" w:cs="Arial"/>
                <w:sz w:val="22"/>
                <w:szCs w:val="22"/>
              </w:rPr>
            </w:pPr>
            <w:r w:rsidRPr="00296BF0">
              <w:rPr>
                <w:rFonts w:ascii="Arial" w:hAnsi="Arial" w:cs="Arial"/>
                <w:sz w:val="22"/>
                <w:szCs w:val="22"/>
              </w:rPr>
              <w:t xml:space="preserve">Do you consider an alternative </w:t>
            </w:r>
            <w:proofErr w:type="gramStart"/>
            <w:r w:rsidRPr="00296BF0">
              <w:rPr>
                <w:rFonts w:ascii="Arial" w:hAnsi="Arial" w:cs="Arial"/>
                <w:sz w:val="22"/>
                <w:szCs w:val="22"/>
              </w:rPr>
              <w:t>approach</w:t>
            </w:r>
            <w:proofErr w:type="gramEnd"/>
            <w:r w:rsidRPr="00296BF0">
              <w:rPr>
                <w:rFonts w:ascii="Arial" w:hAnsi="Arial" w:cs="Arial"/>
                <w:sz w:val="22"/>
                <w:szCs w:val="22"/>
              </w:rPr>
              <w:t xml:space="preserve"> or assessment criteria should be used? If so, please describe these and explain why these would be better.</w:t>
            </w:r>
          </w:p>
        </w:tc>
        <w:tc>
          <w:tcPr>
            <w:tcW w:w="5103" w:type="dxa"/>
            <w:vAlign w:val="center"/>
          </w:tcPr>
          <w:p w14:paraId="30F4BE9C" w14:textId="77777777" w:rsidR="005664BE" w:rsidRPr="00296BF0" w:rsidRDefault="005664BE" w:rsidP="00BD0F03">
            <w:pPr>
              <w:rPr>
                <w:rFonts w:ascii="Arial" w:hAnsi="Arial" w:cs="Arial"/>
                <w:sz w:val="22"/>
                <w:szCs w:val="22"/>
              </w:rPr>
            </w:pPr>
          </w:p>
        </w:tc>
      </w:tr>
      <w:tr w:rsidR="002E7F79" w:rsidRPr="00296BF0" w14:paraId="4D663113" w14:textId="77777777" w:rsidTr="00E30696">
        <w:tc>
          <w:tcPr>
            <w:tcW w:w="9634" w:type="dxa"/>
            <w:gridSpan w:val="3"/>
            <w:shd w:val="clear" w:color="auto" w:fill="F2F2F2" w:themeFill="background1" w:themeFillShade="F2"/>
          </w:tcPr>
          <w:p w14:paraId="3B79DED4" w14:textId="4E42C413" w:rsidR="002E7F79" w:rsidRPr="00296BF0" w:rsidRDefault="002E7F79">
            <w:pPr>
              <w:rPr>
                <w:rFonts w:ascii="Arial" w:hAnsi="Arial" w:cs="Arial"/>
                <w:b/>
                <w:bCs/>
                <w:sz w:val="22"/>
                <w:szCs w:val="22"/>
              </w:rPr>
            </w:pPr>
            <w:r w:rsidRPr="00296BF0">
              <w:rPr>
                <w:rFonts w:ascii="Arial" w:hAnsi="Arial" w:cs="Arial"/>
                <w:b/>
                <w:bCs/>
                <w:sz w:val="22"/>
                <w:szCs w:val="22"/>
              </w:rPr>
              <w:t>Chapter 4</w:t>
            </w:r>
            <w:r w:rsidR="009B1128" w:rsidRPr="00296BF0">
              <w:rPr>
                <w:rFonts w:ascii="Arial" w:hAnsi="Arial" w:cs="Arial"/>
                <w:b/>
                <w:bCs/>
                <w:sz w:val="22"/>
                <w:szCs w:val="22"/>
              </w:rPr>
              <w:t>:</w:t>
            </w:r>
            <w:r w:rsidRPr="00296BF0">
              <w:rPr>
                <w:rFonts w:ascii="Arial" w:hAnsi="Arial" w:cs="Arial"/>
                <w:b/>
                <w:bCs/>
                <w:sz w:val="22"/>
                <w:szCs w:val="22"/>
              </w:rPr>
              <w:t xml:space="preserve"> BBC simple method treatment of battery storage</w:t>
            </w:r>
          </w:p>
        </w:tc>
      </w:tr>
      <w:tr w:rsidR="005664BE" w:rsidRPr="00296BF0" w14:paraId="3B3E7EA3" w14:textId="77777777" w:rsidTr="00296BF0">
        <w:tc>
          <w:tcPr>
            <w:tcW w:w="639" w:type="dxa"/>
          </w:tcPr>
          <w:p w14:paraId="53822FEF" w14:textId="03800020" w:rsidR="005664BE" w:rsidRPr="00296BF0" w:rsidRDefault="005664BE">
            <w:pPr>
              <w:rPr>
                <w:rFonts w:ascii="Arial" w:hAnsi="Arial" w:cs="Arial"/>
                <w:sz w:val="22"/>
                <w:szCs w:val="22"/>
              </w:rPr>
            </w:pPr>
            <w:r w:rsidRPr="00296BF0">
              <w:rPr>
                <w:rFonts w:ascii="Arial" w:hAnsi="Arial" w:cs="Arial"/>
                <w:sz w:val="22"/>
                <w:szCs w:val="22"/>
              </w:rPr>
              <w:t>3</w:t>
            </w:r>
          </w:p>
        </w:tc>
        <w:tc>
          <w:tcPr>
            <w:tcW w:w="3892" w:type="dxa"/>
          </w:tcPr>
          <w:p w14:paraId="39074244" w14:textId="34205987" w:rsidR="005664BE" w:rsidRPr="00296BF0" w:rsidRDefault="00FE33C0" w:rsidP="005664BE">
            <w:pPr>
              <w:rPr>
                <w:rFonts w:ascii="Arial" w:hAnsi="Arial" w:cs="Arial"/>
                <w:sz w:val="22"/>
                <w:szCs w:val="22"/>
              </w:rPr>
            </w:pPr>
            <w:r w:rsidRPr="00296BF0">
              <w:rPr>
                <w:rFonts w:ascii="Arial" w:hAnsi="Arial" w:cs="Arial"/>
                <w:sz w:val="22"/>
                <w:szCs w:val="22"/>
              </w:rPr>
              <w:t>Do you agree that offtake by battery storage should be exempt from the Demand Factor? Please explain your reasons.</w:t>
            </w:r>
          </w:p>
        </w:tc>
        <w:tc>
          <w:tcPr>
            <w:tcW w:w="5103" w:type="dxa"/>
          </w:tcPr>
          <w:p w14:paraId="6685EF69" w14:textId="77777777" w:rsidR="005664BE" w:rsidRPr="00296BF0" w:rsidRDefault="005664BE">
            <w:pPr>
              <w:rPr>
                <w:rFonts w:ascii="Arial" w:hAnsi="Arial" w:cs="Arial"/>
                <w:sz w:val="22"/>
                <w:szCs w:val="22"/>
              </w:rPr>
            </w:pPr>
          </w:p>
        </w:tc>
      </w:tr>
      <w:tr w:rsidR="005664BE" w:rsidRPr="00296BF0" w14:paraId="5144B31F" w14:textId="77777777" w:rsidTr="00296BF0">
        <w:tc>
          <w:tcPr>
            <w:tcW w:w="639" w:type="dxa"/>
          </w:tcPr>
          <w:p w14:paraId="774FAE04" w14:textId="7156560D" w:rsidR="005664BE" w:rsidRPr="00296BF0" w:rsidRDefault="005664BE">
            <w:pPr>
              <w:rPr>
                <w:rFonts w:ascii="Arial" w:hAnsi="Arial" w:cs="Arial"/>
                <w:sz w:val="22"/>
                <w:szCs w:val="22"/>
              </w:rPr>
            </w:pPr>
            <w:r w:rsidRPr="00296BF0">
              <w:rPr>
                <w:rFonts w:ascii="Arial" w:hAnsi="Arial" w:cs="Arial"/>
                <w:sz w:val="22"/>
                <w:szCs w:val="22"/>
              </w:rPr>
              <w:t>4</w:t>
            </w:r>
          </w:p>
        </w:tc>
        <w:tc>
          <w:tcPr>
            <w:tcW w:w="3892" w:type="dxa"/>
          </w:tcPr>
          <w:p w14:paraId="678D17D7" w14:textId="161DD2DC" w:rsidR="005664BE" w:rsidRPr="00296BF0" w:rsidRDefault="00AE15CD" w:rsidP="005664BE">
            <w:pPr>
              <w:rPr>
                <w:rFonts w:ascii="Arial" w:hAnsi="Arial" w:cs="Arial"/>
                <w:sz w:val="22"/>
                <w:szCs w:val="22"/>
              </w:rPr>
            </w:pPr>
            <w:r w:rsidRPr="00296BF0">
              <w:rPr>
                <w:rFonts w:ascii="Arial" w:hAnsi="Arial" w:cs="Arial"/>
                <w:sz w:val="22"/>
                <w:szCs w:val="22"/>
              </w:rPr>
              <w:t>Do you prefer any of the alternative options discussed for the treatment of battery storage under the simple method? Please explain your reasons.</w:t>
            </w:r>
          </w:p>
        </w:tc>
        <w:tc>
          <w:tcPr>
            <w:tcW w:w="5103" w:type="dxa"/>
          </w:tcPr>
          <w:p w14:paraId="2AD89123" w14:textId="77777777" w:rsidR="005664BE" w:rsidRPr="00296BF0" w:rsidRDefault="005664BE">
            <w:pPr>
              <w:rPr>
                <w:rFonts w:ascii="Arial" w:hAnsi="Arial" w:cs="Arial"/>
                <w:sz w:val="22"/>
                <w:szCs w:val="22"/>
              </w:rPr>
            </w:pPr>
          </w:p>
        </w:tc>
      </w:tr>
      <w:tr w:rsidR="005664BE" w:rsidRPr="00296BF0" w14:paraId="7790F57D" w14:textId="77777777" w:rsidTr="00296BF0">
        <w:tc>
          <w:tcPr>
            <w:tcW w:w="639" w:type="dxa"/>
          </w:tcPr>
          <w:p w14:paraId="474DCC4B" w14:textId="7BB28F50" w:rsidR="005664BE" w:rsidRPr="00296BF0" w:rsidRDefault="00A00B2F">
            <w:pPr>
              <w:rPr>
                <w:rFonts w:ascii="Arial" w:hAnsi="Arial" w:cs="Arial"/>
                <w:sz w:val="22"/>
                <w:szCs w:val="22"/>
              </w:rPr>
            </w:pPr>
            <w:r w:rsidRPr="00296BF0">
              <w:rPr>
                <w:rFonts w:ascii="Arial" w:hAnsi="Arial" w:cs="Arial"/>
                <w:sz w:val="22"/>
                <w:szCs w:val="22"/>
              </w:rPr>
              <w:t>5</w:t>
            </w:r>
          </w:p>
        </w:tc>
        <w:tc>
          <w:tcPr>
            <w:tcW w:w="3892" w:type="dxa"/>
          </w:tcPr>
          <w:p w14:paraId="53988A12" w14:textId="335625FC" w:rsidR="005664BE" w:rsidRPr="00296BF0" w:rsidRDefault="00C51675" w:rsidP="005664BE">
            <w:pPr>
              <w:rPr>
                <w:rFonts w:ascii="Arial" w:hAnsi="Arial" w:cs="Arial"/>
                <w:sz w:val="22"/>
                <w:szCs w:val="22"/>
              </w:rPr>
            </w:pPr>
            <w:r w:rsidRPr="00296BF0">
              <w:rPr>
                <w:rFonts w:ascii="Arial" w:hAnsi="Arial" w:cs="Arial"/>
                <w:sz w:val="22"/>
                <w:szCs w:val="22"/>
              </w:rPr>
              <w:t>Do you agree that the proposed amendment for battery storage offtake should be made ahead of Transpower’s next phase of its operational review, when it will review the simple method? Please explain your reasons.</w:t>
            </w:r>
          </w:p>
        </w:tc>
        <w:tc>
          <w:tcPr>
            <w:tcW w:w="5103" w:type="dxa"/>
          </w:tcPr>
          <w:p w14:paraId="1DF5BE44" w14:textId="77777777" w:rsidR="005664BE" w:rsidRPr="00296BF0" w:rsidRDefault="005664BE">
            <w:pPr>
              <w:rPr>
                <w:rFonts w:ascii="Arial" w:hAnsi="Arial" w:cs="Arial"/>
                <w:sz w:val="22"/>
                <w:szCs w:val="22"/>
              </w:rPr>
            </w:pPr>
          </w:p>
        </w:tc>
      </w:tr>
      <w:tr w:rsidR="005664BE" w:rsidRPr="00296BF0" w14:paraId="6C37A780" w14:textId="77777777" w:rsidTr="00296BF0">
        <w:tc>
          <w:tcPr>
            <w:tcW w:w="639" w:type="dxa"/>
          </w:tcPr>
          <w:p w14:paraId="02E6FCE7" w14:textId="0C30E04F" w:rsidR="005664BE" w:rsidRPr="00296BF0" w:rsidRDefault="00A00B2F">
            <w:pPr>
              <w:rPr>
                <w:rFonts w:ascii="Arial" w:hAnsi="Arial" w:cs="Arial"/>
                <w:sz w:val="22"/>
                <w:szCs w:val="22"/>
              </w:rPr>
            </w:pPr>
            <w:r w:rsidRPr="00296BF0">
              <w:rPr>
                <w:rFonts w:ascii="Arial" w:hAnsi="Arial" w:cs="Arial"/>
                <w:sz w:val="22"/>
                <w:szCs w:val="22"/>
              </w:rPr>
              <w:t>6</w:t>
            </w:r>
          </w:p>
        </w:tc>
        <w:tc>
          <w:tcPr>
            <w:tcW w:w="3892" w:type="dxa"/>
          </w:tcPr>
          <w:p w14:paraId="7280DE97" w14:textId="4BB074E8" w:rsidR="005664BE" w:rsidRPr="00296BF0" w:rsidRDefault="00E55F55" w:rsidP="005664BE">
            <w:pPr>
              <w:rPr>
                <w:rFonts w:ascii="Arial" w:hAnsi="Arial" w:cs="Arial"/>
                <w:sz w:val="22"/>
                <w:szCs w:val="22"/>
              </w:rPr>
            </w:pPr>
            <w:r w:rsidRPr="00296BF0">
              <w:rPr>
                <w:rFonts w:ascii="Arial" w:hAnsi="Arial" w:cs="Arial"/>
                <w:sz w:val="22"/>
                <w:szCs w:val="22"/>
              </w:rPr>
              <w:t xml:space="preserve">Do you have any comment on the drafting of the amendment to the treatment of battery storage in </w:t>
            </w:r>
            <w:r w:rsidR="006F7153" w:rsidRPr="00296BF0">
              <w:rPr>
                <w:rFonts w:ascii="Arial" w:hAnsi="Arial" w:cs="Arial"/>
                <w:sz w:val="22"/>
                <w:szCs w:val="22"/>
              </w:rPr>
              <w:t xml:space="preserve">Appendix </w:t>
            </w:r>
            <w:r w:rsidR="00D711E5">
              <w:rPr>
                <w:rFonts w:ascii="Arial" w:hAnsi="Arial" w:cs="Arial"/>
                <w:sz w:val="22"/>
                <w:szCs w:val="22"/>
              </w:rPr>
              <w:t>C</w:t>
            </w:r>
            <w:r w:rsidRPr="00296BF0">
              <w:rPr>
                <w:rFonts w:ascii="Arial" w:hAnsi="Arial" w:cs="Arial"/>
                <w:sz w:val="22"/>
                <w:szCs w:val="22"/>
              </w:rPr>
              <w:t>?</w:t>
            </w:r>
          </w:p>
        </w:tc>
        <w:tc>
          <w:tcPr>
            <w:tcW w:w="5103" w:type="dxa"/>
          </w:tcPr>
          <w:p w14:paraId="54E83B4C" w14:textId="77777777" w:rsidR="005664BE" w:rsidRPr="00296BF0" w:rsidRDefault="005664BE">
            <w:pPr>
              <w:rPr>
                <w:rFonts w:ascii="Arial" w:hAnsi="Arial" w:cs="Arial"/>
                <w:sz w:val="22"/>
                <w:szCs w:val="22"/>
              </w:rPr>
            </w:pPr>
          </w:p>
        </w:tc>
      </w:tr>
      <w:tr w:rsidR="00716403" w:rsidRPr="00296BF0" w14:paraId="2CE5FF31" w14:textId="77777777" w:rsidTr="00E30696">
        <w:tc>
          <w:tcPr>
            <w:tcW w:w="9634" w:type="dxa"/>
            <w:gridSpan w:val="3"/>
            <w:shd w:val="clear" w:color="auto" w:fill="F2F2F2" w:themeFill="background1" w:themeFillShade="F2"/>
          </w:tcPr>
          <w:p w14:paraId="3266CD7D" w14:textId="3CE1BEC6" w:rsidR="00716403" w:rsidRPr="00296BF0" w:rsidRDefault="00716403">
            <w:pPr>
              <w:rPr>
                <w:rFonts w:ascii="Arial" w:hAnsi="Arial" w:cs="Arial"/>
                <w:b/>
                <w:bCs/>
                <w:sz w:val="22"/>
                <w:szCs w:val="22"/>
              </w:rPr>
            </w:pPr>
            <w:r w:rsidRPr="00296BF0">
              <w:rPr>
                <w:rFonts w:ascii="Arial" w:hAnsi="Arial" w:cs="Arial"/>
                <w:b/>
                <w:bCs/>
                <w:sz w:val="22"/>
                <w:szCs w:val="22"/>
              </w:rPr>
              <w:t>Chapter 6</w:t>
            </w:r>
            <w:r w:rsidR="009B1128" w:rsidRPr="00296BF0">
              <w:rPr>
                <w:rFonts w:ascii="Arial" w:hAnsi="Arial" w:cs="Arial"/>
                <w:b/>
                <w:bCs/>
                <w:sz w:val="22"/>
                <w:szCs w:val="22"/>
              </w:rPr>
              <w:t>:</w:t>
            </w:r>
            <w:r w:rsidRPr="00296BF0">
              <w:rPr>
                <w:rFonts w:ascii="Arial" w:hAnsi="Arial" w:cs="Arial"/>
                <w:b/>
                <w:bCs/>
                <w:sz w:val="22"/>
                <w:szCs w:val="22"/>
              </w:rPr>
              <w:t xml:space="preserve"> Applying updated WACC without a lag</w:t>
            </w:r>
          </w:p>
        </w:tc>
      </w:tr>
      <w:tr w:rsidR="006A6F27" w:rsidRPr="00296BF0" w14:paraId="3ED98525" w14:textId="77777777" w:rsidTr="00296BF0">
        <w:tc>
          <w:tcPr>
            <w:tcW w:w="639" w:type="dxa"/>
          </w:tcPr>
          <w:p w14:paraId="24BFA74E" w14:textId="76C6444F" w:rsidR="006A6F27" w:rsidRPr="00296BF0" w:rsidRDefault="00A00B2F">
            <w:pPr>
              <w:rPr>
                <w:rFonts w:ascii="Arial" w:hAnsi="Arial" w:cs="Arial"/>
                <w:sz w:val="22"/>
                <w:szCs w:val="22"/>
              </w:rPr>
            </w:pPr>
            <w:r w:rsidRPr="00296BF0">
              <w:rPr>
                <w:rFonts w:ascii="Arial" w:hAnsi="Arial" w:cs="Arial"/>
                <w:sz w:val="22"/>
                <w:szCs w:val="22"/>
              </w:rPr>
              <w:t>1</w:t>
            </w:r>
            <w:r w:rsidR="005F146E" w:rsidRPr="00296BF0">
              <w:rPr>
                <w:rFonts w:ascii="Arial" w:hAnsi="Arial" w:cs="Arial"/>
                <w:sz w:val="22"/>
                <w:szCs w:val="22"/>
              </w:rPr>
              <w:t>3</w:t>
            </w:r>
          </w:p>
        </w:tc>
        <w:tc>
          <w:tcPr>
            <w:tcW w:w="3892" w:type="dxa"/>
          </w:tcPr>
          <w:p w14:paraId="67821661" w14:textId="29F9696E" w:rsidR="006A6F27" w:rsidRPr="00296BF0" w:rsidRDefault="0055561B" w:rsidP="00A00B2F">
            <w:pPr>
              <w:rPr>
                <w:rFonts w:ascii="Arial" w:hAnsi="Arial" w:cs="Arial"/>
                <w:sz w:val="22"/>
                <w:szCs w:val="22"/>
              </w:rPr>
            </w:pPr>
            <w:r w:rsidRPr="00296BF0">
              <w:rPr>
                <w:rFonts w:ascii="Arial" w:hAnsi="Arial" w:cs="Arial"/>
                <w:sz w:val="22"/>
                <w:szCs w:val="22"/>
              </w:rPr>
              <w:t>Do you agree with the Authority’s assessment of the consequences of the WACC lag? Please provide your reasons.</w:t>
            </w:r>
          </w:p>
        </w:tc>
        <w:tc>
          <w:tcPr>
            <w:tcW w:w="5103" w:type="dxa"/>
          </w:tcPr>
          <w:p w14:paraId="04A1662D" w14:textId="77777777" w:rsidR="006A6F27" w:rsidRPr="00296BF0" w:rsidRDefault="006A6F27">
            <w:pPr>
              <w:rPr>
                <w:rFonts w:ascii="Arial" w:hAnsi="Arial" w:cs="Arial"/>
                <w:sz w:val="22"/>
                <w:szCs w:val="22"/>
              </w:rPr>
            </w:pPr>
          </w:p>
        </w:tc>
      </w:tr>
      <w:tr w:rsidR="006A6F27" w:rsidRPr="00296BF0" w14:paraId="26159C21" w14:textId="77777777" w:rsidTr="00296BF0">
        <w:tc>
          <w:tcPr>
            <w:tcW w:w="639" w:type="dxa"/>
          </w:tcPr>
          <w:p w14:paraId="74CF4A28" w14:textId="3746712A" w:rsidR="006A6F27" w:rsidRPr="00296BF0" w:rsidRDefault="00A00B2F">
            <w:pPr>
              <w:rPr>
                <w:rFonts w:ascii="Arial" w:hAnsi="Arial" w:cs="Arial"/>
                <w:sz w:val="22"/>
                <w:szCs w:val="22"/>
              </w:rPr>
            </w:pPr>
            <w:r w:rsidRPr="00296BF0">
              <w:rPr>
                <w:rFonts w:ascii="Arial" w:hAnsi="Arial" w:cs="Arial"/>
                <w:sz w:val="22"/>
                <w:szCs w:val="22"/>
              </w:rPr>
              <w:t>1</w:t>
            </w:r>
            <w:r w:rsidR="005F146E" w:rsidRPr="00296BF0">
              <w:rPr>
                <w:rFonts w:ascii="Arial" w:hAnsi="Arial" w:cs="Arial"/>
                <w:sz w:val="22"/>
                <w:szCs w:val="22"/>
              </w:rPr>
              <w:t>4</w:t>
            </w:r>
          </w:p>
        </w:tc>
        <w:tc>
          <w:tcPr>
            <w:tcW w:w="3892" w:type="dxa"/>
          </w:tcPr>
          <w:p w14:paraId="4F5CCDB3" w14:textId="643A1972" w:rsidR="006A6F27" w:rsidRPr="00296BF0" w:rsidRDefault="00664F32" w:rsidP="006A6F27">
            <w:pPr>
              <w:rPr>
                <w:rFonts w:ascii="Arial" w:hAnsi="Arial" w:cs="Arial"/>
                <w:sz w:val="22"/>
                <w:szCs w:val="22"/>
              </w:rPr>
            </w:pPr>
            <w:r w:rsidRPr="00296BF0">
              <w:rPr>
                <w:rFonts w:ascii="Arial" w:hAnsi="Arial" w:cs="Arial"/>
                <w:sz w:val="22"/>
                <w:szCs w:val="22"/>
              </w:rPr>
              <w:t>Do you agree that, because the efficiency impacts will likely grow over time, the Authority should address this WACC lag issue now? Please explain your reasons.</w:t>
            </w:r>
          </w:p>
        </w:tc>
        <w:tc>
          <w:tcPr>
            <w:tcW w:w="5103" w:type="dxa"/>
          </w:tcPr>
          <w:p w14:paraId="364C3EE5" w14:textId="77777777" w:rsidR="006A6F27" w:rsidRPr="00296BF0" w:rsidRDefault="006A6F27">
            <w:pPr>
              <w:rPr>
                <w:rFonts w:ascii="Arial" w:hAnsi="Arial" w:cs="Arial"/>
                <w:sz w:val="22"/>
                <w:szCs w:val="22"/>
              </w:rPr>
            </w:pPr>
          </w:p>
        </w:tc>
      </w:tr>
      <w:tr w:rsidR="006A6F27" w:rsidRPr="00296BF0" w14:paraId="2943B585" w14:textId="77777777" w:rsidTr="00296BF0">
        <w:tc>
          <w:tcPr>
            <w:tcW w:w="639" w:type="dxa"/>
          </w:tcPr>
          <w:p w14:paraId="1DF95648" w14:textId="008D9BA7" w:rsidR="006A6F27" w:rsidRPr="00296BF0" w:rsidRDefault="00A00B2F">
            <w:pPr>
              <w:rPr>
                <w:rFonts w:ascii="Arial" w:hAnsi="Arial" w:cs="Arial"/>
                <w:sz w:val="22"/>
                <w:szCs w:val="22"/>
              </w:rPr>
            </w:pPr>
            <w:r w:rsidRPr="00296BF0">
              <w:rPr>
                <w:rFonts w:ascii="Arial" w:hAnsi="Arial" w:cs="Arial"/>
                <w:sz w:val="22"/>
                <w:szCs w:val="22"/>
              </w:rPr>
              <w:t>1</w:t>
            </w:r>
            <w:r w:rsidR="005F146E" w:rsidRPr="00296BF0">
              <w:rPr>
                <w:rFonts w:ascii="Arial" w:hAnsi="Arial" w:cs="Arial"/>
                <w:sz w:val="22"/>
                <w:szCs w:val="22"/>
              </w:rPr>
              <w:t>5</w:t>
            </w:r>
          </w:p>
        </w:tc>
        <w:tc>
          <w:tcPr>
            <w:tcW w:w="3892" w:type="dxa"/>
          </w:tcPr>
          <w:p w14:paraId="016FCE85" w14:textId="4D5141CD" w:rsidR="006A6F27" w:rsidRPr="00296BF0" w:rsidRDefault="00440EF5" w:rsidP="006A6F27">
            <w:pPr>
              <w:rPr>
                <w:rFonts w:ascii="Arial" w:hAnsi="Arial" w:cs="Arial"/>
                <w:sz w:val="22"/>
                <w:szCs w:val="22"/>
              </w:rPr>
            </w:pPr>
            <w:r w:rsidRPr="00296BF0">
              <w:rPr>
                <w:rFonts w:ascii="Arial" w:hAnsi="Arial" w:cs="Arial"/>
                <w:sz w:val="22"/>
                <w:szCs w:val="22"/>
              </w:rPr>
              <w:t xml:space="preserve">Do you have any comment on the drafting of the amendment to address the WACC lag in Appendix </w:t>
            </w:r>
            <w:r w:rsidR="00D711E5">
              <w:rPr>
                <w:rFonts w:ascii="Arial" w:hAnsi="Arial" w:cs="Arial"/>
                <w:sz w:val="22"/>
                <w:szCs w:val="22"/>
              </w:rPr>
              <w:t>C</w:t>
            </w:r>
            <w:r w:rsidRPr="00296BF0">
              <w:rPr>
                <w:rFonts w:ascii="Arial" w:hAnsi="Arial" w:cs="Arial"/>
                <w:sz w:val="22"/>
                <w:szCs w:val="22"/>
              </w:rPr>
              <w:t>?</w:t>
            </w:r>
          </w:p>
        </w:tc>
        <w:tc>
          <w:tcPr>
            <w:tcW w:w="5103" w:type="dxa"/>
          </w:tcPr>
          <w:p w14:paraId="395266EF" w14:textId="77777777" w:rsidR="006A6F27" w:rsidRPr="00296BF0" w:rsidRDefault="006A6F27">
            <w:pPr>
              <w:rPr>
                <w:rFonts w:ascii="Arial" w:hAnsi="Arial" w:cs="Arial"/>
                <w:sz w:val="22"/>
                <w:szCs w:val="22"/>
              </w:rPr>
            </w:pPr>
          </w:p>
        </w:tc>
      </w:tr>
      <w:tr w:rsidR="00FB2368" w:rsidRPr="00296BF0" w14:paraId="440A198E" w14:textId="77777777" w:rsidTr="00E30696">
        <w:tc>
          <w:tcPr>
            <w:tcW w:w="9634" w:type="dxa"/>
            <w:gridSpan w:val="3"/>
            <w:shd w:val="clear" w:color="auto" w:fill="F2F2F2" w:themeFill="background1" w:themeFillShade="F2"/>
          </w:tcPr>
          <w:p w14:paraId="76B62082" w14:textId="3B608D45" w:rsidR="00FB2368" w:rsidRPr="00296BF0" w:rsidRDefault="00FB2368">
            <w:pPr>
              <w:rPr>
                <w:rFonts w:ascii="Arial" w:hAnsi="Arial" w:cs="Arial"/>
                <w:b/>
                <w:bCs/>
                <w:sz w:val="22"/>
                <w:szCs w:val="22"/>
              </w:rPr>
            </w:pPr>
            <w:r w:rsidRPr="00296BF0">
              <w:rPr>
                <w:rFonts w:ascii="Arial" w:hAnsi="Arial" w:cs="Arial"/>
                <w:b/>
                <w:bCs/>
                <w:sz w:val="22"/>
                <w:szCs w:val="22"/>
              </w:rPr>
              <w:t>Chapter 7</w:t>
            </w:r>
            <w:r w:rsidR="009B1128" w:rsidRPr="00296BF0">
              <w:rPr>
                <w:rFonts w:ascii="Arial" w:hAnsi="Arial" w:cs="Arial"/>
                <w:b/>
                <w:bCs/>
                <w:sz w:val="22"/>
                <w:szCs w:val="22"/>
              </w:rPr>
              <w:t>:</w:t>
            </w:r>
            <w:r w:rsidRPr="00296BF0">
              <w:rPr>
                <w:rFonts w:ascii="Arial" w:hAnsi="Arial" w:cs="Arial"/>
                <w:b/>
                <w:bCs/>
                <w:sz w:val="22"/>
                <w:szCs w:val="22"/>
              </w:rPr>
              <w:t xml:space="preserve"> Batching BBC adjustment events</w:t>
            </w:r>
          </w:p>
        </w:tc>
      </w:tr>
      <w:tr w:rsidR="006A6F27" w:rsidRPr="00296BF0" w14:paraId="704F4236" w14:textId="77777777" w:rsidTr="00296BF0">
        <w:tc>
          <w:tcPr>
            <w:tcW w:w="639" w:type="dxa"/>
          </w:tcPr>
          <w:p w14:paraId="4C631103" w14:textId="3F38F9F2" w:rsidR="006A6F27" w:rsidRPr="00296BF0" w:rsidRDefault="00A00B2F">
            <w:pPr>
              <w:rPr>
                <w:rFonts w:ascii="Arial" w:hAnsi="Arial" w:cs="Arial"/>
                <w:sz w:val="22"/>
                <w:szCs w:val="22"/>
              </w:rPr>
            </w:pPr>
            <w:r w:rsidRPr="00296BF0">
              <w:rPr>
                <w:rFonts w:ascii="Arial" w:hAnsi="Arial" w:cs="Arial"/>
                <w:sz w:val="22"/>
                <w:szCs w:val="22"/>
              </w:rPr>
              <w:t>1</w:t>
            </w:r>
            <w:r w:rsidR="00C86B91" w:rsidRPr="00296BF0">
              <w:rPr>
                <w:rFonts w:ascii="Arial" w:hAnsi="Arial" w:cs="Arial"/>
                <w:sz w:val="22"/>
                <w:szCs w:val="22"/>
              </w:rPr>
              <w:t>6</w:t>
            </w:r>
          </w:p>
        </w:tc>
        <w:tc>
          <w:tcPr>
            <w:tcW w:w="3892" w:type="dxa"/>
          </w:tcPr>
          <w:p w14:paraId="0F907FC7" w14:textId="0415A379" w:rsidR="006A6F27" w:rsidRPr="00296BF0" w:rsidRDefault="0041207D" w:rsidP="006A6F27">
            <w:pPr>
              <w:rPr>
                <w:rFonts w:ascii="Arial" w:hAnsi="Arial" w:cs="Arial"/>
                <w:sz w:val="22"/>
                <w:szCs w:val="22"/>
              </w:rPr>
            </w:pPr>
            <w:r w:rsidRPr="00296BF0">
              <w:rPr>
                <w:rFonts w:ascii="Arial" w:hAnsi="Arial" w:cs="Arial"/>
                <w:sz w:val="22"/>
                <w:szCs w:val="22"/>
              </w:rPr>
              <w:t xml:space="preserve">Do you agree with the proposal to allow Transpower to batch and process BBC adjustment events at a </w:t>
            </w:r>
            <w:r w:rsidRPr="00296BF0">
              <w:rPr>
                <w:rFonts w:ascii="Arial" w:hAnsi="Arial" w:cs="Arial"/>
                <w:sz w:val="22"/>
                <w:szCs w:val="22"/>
              </w:rPr>
              <w:lastRenderedPageBreak/>
              <w:t>single annual date? Please provide your reasons.</w:t>
            </w:r>
          </w:p>
        </w:tc>
        <w:tc>
          <w:tcPr>
            <w:tcW w:w="5103" w:type="dxa"/>
          </w:tcPr>
          <w:p w14:paraId="3582A70C" w14:textId="77777777" w:rsidR="006A6F27" w:rsidRPr="00296BF0" w:rsidRDefault="006A6F27">
            <w:pPr>
              <w:rPr>
                <w:rFonts w:ascii="Arial" w:hAnsi="Arial" w:cs="Arial"/>
                <w:sz w:val="22"/>
                <w:szCs w:val="22"/>
              </w:rPr>
            </w:pPr>
          </w:p>
        </w:tc>
      </w:tr>
      <w:tr w:rsidR="006A6F27" w:rsidRPr="00296BF0" w14:paraId="21A308A0" w14:textId="77777777" w:rsidTr="00296BF0">
        <w:tc>
          <w:tcPr>
            <w:tcW w:w="639" w:type="dxa"/>
          </w:tcPr>
          <w:p w14:paraId="7185B051" w14:textId="3E7003D9" w:rsidR="006A6F27" w:rsidRPr="00296BF0" w:rsidRDefault="00A00B2F">
            <w:pPr>
              <w:rPr>
                <w:rFonts w:ascii="Arial" w:hAnsi="Arial" w:cs="Arial"/>
                <w:sz w:val="22"/>
                <w:szCs w:val="22"/>
              </w:rPr>
            </w:pPr>
            <w:r w:rsidRPr="00296BF0">
              <w:rPr>
                <w:rFonts w:ascii="Arial" w:hAnsi="Arial" w:cs="Arial"/>
                <w:sz w:val="22"/>
                <w:szCs w:val="22"/>
              </w:rPr>
              <w:t>1</w:t>
            </w:r>
            <w:r w:rsidR="00C86B91" w:rsidRPr="00296BF0">
              <w:rPr>
                <w:rFonts w:ascii="Arial" w:hAnsi="Arial" w:cs="Arial"/>
                <w:sz w:val="22"/>
                <w:szCs w:val="22"/>
              </w:rPr>
              <w:t>7</w:t>
            </w:r>
          </w:p>
        </w:tc>
        <w:tc>
          <w:tcPr>
            <w:tcW w:w="3892" w:type="dxa"/>
          </w:tcPr>
          <w:p w14:paraId="30C9FDFA" w14:textId="6344652A" w:rsidR="006A6F27" w:rsidRPr="00296BF0" w:rsidRDefault="00ED5F65" w:rsidP="006A6F27">
            <w:pPr>
              <w:rPr>
                <w:rFonts w:ascii="Arial" w:hAnsi="Arial" w:cs="Arial"/>
                <w:sz w:val="22"/>
                <w:szCs w:val="22"/>
              </w:rPr>
            </w:pPr>
            <w:r w:rsidRPr="00296BF0">
              <w:rPr>
                <w:rFonts w:ascii="Arial" w:hAnsi="Arial" w:cs="Arial"/>
                <w:sz w:val="22"/>
                <w:szCs w:val="22"/>
              </w:rPr>
              <w:t>Do you agree that the causing customer should be charged from the batching date, with any adjustments for other customers to be applied in the subsequent pricing year? Please state your reasons.</w:t>
            </w:r>
          </w:p>
        </w:tc>
        <w:tc>
          <w:tcPr>
            <w:tcW w:w="5103" w:type="dxa"/>
          </w:tcPr>
          <w:p w14:paraId="50211EAF" w14:textId="77777777" w:rsidR="006A6F27" w:rsidRPr="00296BF0" w:rsidRDefault="006A6F27">
            <w:pPr>
              <w:rPr>
                <w:rFonts w:ascii="Arial" w:hAnsi="Arial" w:cs="Arial"/>
                <w:sz w:val="22"/>
                <w:szCs w:val="22"/>
              </w:rPr>
            </w:pPr>
          </w:p>
        </w:tc>
      </w:tr>
      <w:tr w:rsidR="006A6F27" w:rsidRPr="00296BF0" w14:paraId="78414C45" w14:textId="77777777" w:rsidTr="00296BF0">
        <w:tc>
          <w:tcPr>
            <w:tcW w:w="639" w:type="dxa"/>
          </w:tcPr>
          <w:p w14:paraId="3C865C25" w14:textId="2D76E55F" w:rsidR="006A6F27" w:rsidRPr="00296BF0" w:rsidRDefault="00A00B2F">
            <w:pPr>
              <w:rPr>
                <w:rFonts w:ascii="Arial" w:hAnsi="Arial" w:cs="Arial"/>
                <w:sz w:val="22"/>
                <w:szCs w:val="22"/>
              </w:rPr>
            </w:pPr>
            <w:r w:rsidRPr="00296BF0">
              <w:rPr>
                <w:rFonts w:ascii="Arial" w:hAnsi="Arial" w:cs="Arial"/>
                <w:sz w:val="22"/>
                <w:szCs w:val="22"/>
              </w:rPr>
              <w:t>1</w:t>
            </w:r>
            <w:r w:rsidR="00C86B91" w:rsidRPr="00296BF0">
              <w:rPr>
                <w:rFonts w:ascii="Arial" w:hAnsi="Arial" w:cs="Arial"/>
                <w:sz w:val="22"/>
                <w:szCs w:val="22"/>
              </w:rPr>
              <w:t>8</w:t>
            </w:r>
          </w:p>
        </w:tc>
        <w:tc>
          <w:tcPr>
            <w:tcW w:w="3892" w:type="dxa"/>
          </w:tcPr>
          <w:p w14:paraId="0989C24C" w14:textId="373B20BA" w:rsidR="006A6F27" w:rsidRPr="00296BF0" w:rsidRDefault="00EA7820" w:rsidP="006A6F27">
            <w:pPr>
              <w:rPr>
                <w:rFonts w:ascii="Arial" w:hAnsi="Arial" w:cs="Arial"/>
                <w:sz w:val="22"/>
                <w:szCs w:val="22"/>
              </w:rPr>
            </w:pPr>
            <w:r w:rsidRPr="00296BF0">
              <w:rPr>
                <w:rFonts w:ascii="Arial" w:hAnsi="Arial" w:cs="Arial"/>
                <w:sz w:val="22"/>
                <w:szCs w:val="22"/>
              </w:rPr>
              <w:t>Do you consider it more efficient if, instead of the proposal mentioned in Q17, adjusted charges for both the causing customers and other customers should apply from the following pricing year? Please provide your reasons.</w:t>
            </w:r>
          </w:p>
        </w:tc>
        <w:tc>
          <w:tcPr>
            <w:tcW w:w="5103" w:type="dxa"/>
          </w:tcPr>
          <w:p w14:paraId="04EFA2B2" w14:textId="77777777" w:rsidR="006A6F27" w:rsidRPr="00296BF0" w:rsidRDefault="006A6F27">
            <w:pPr>
              <w:rPr>
                <w:rFonts w:ascii="Arial" w:hAnsi="Arial" w:cs="Arial"/>
                <w:sz w:val="22"/>
                <w:szCs w:val="22"/>
              </w:rPr>
            </w:pPr>
          </w:p>
        </w:tc>
      </w:tr>
      <w:tr w:rsidR="006A6F27" w:rsidRPr="00296BF0" w14:paraId="29AD5D1F" w14:textId="77777777" w:rsidTr="00296BF0">
        <w:tc>
          <w:tcPr>
            <w:tcW w:w="639" w:type="dxa"/>
          </w:tcPr>
          <w:p w14:paraId="0687B943" w14:textId="4C4931ED" w:rsidR="006A6F27" w:rsidRPr="00296BF0" w:rsidRDefault="00C86B91">
            <w:pPr>
              <w:rPr>
                <w:rFonts w:ascii="Arial" w:hAnsi="Arial" w:cs="Arial"/>
                <w:sz w:val="22"/>
                <w:szCs w:val="22"/>
              </w:rPr>
            </w:pPr>
            <w:r w:rsidRPr="00296BF0">
              <w:rPr>
                <w:rFonts w:ascii="Arial" w:hAnsi="Arial" w:cs="Arial"/>
                <w:sz w:val="22"/>
                <w:szCs w:val="22"/>
              </w:rPr>
              <w:t>19</w:t>
            </w:r>
          </w:p>
        </w:tc>
        <w:tc>
          <w:tcPr>
            <w:tcW w:w="3892" w:type="dxa"/>
          </w:tcPr>
          <w:p w14:paraId="1FDAE196" w14:textId="24CBE5EE" w:rsidR="006A6F27" w:rsidRPr="00296BF0" w:rsidRDefault="008B0676" w:rsidP="006A6F27">
            <w:pPr>
              <w:rPr>
                <w:rFonts w:ascii="Arial" w:hAnsi="Arial" w:cs="Arial"/>
                <w:sz w:val="22"/>
                <w:szCs w:val="22"/>
              </w:rPr>
            </w:pPr>
            <w:r w:rsidRPr="00296BF0">
              <w:rPr>
                <w:rFonts w:ascii="Arial" w:hAnsi="Arial" w:cs="Arial"/>
                <w:sz w:val="22"/>
                <w:szCs w:val="22"/>
              </w:rPr>
              <w:t xml:space="preserve">Do you have any comment on the drafting of the amendment to enable batching of BBC adjustment events in Appendix </w:t>
            </w:r>
            <w:r w:rsidR="00D711E5">
              <w:rPr>
                <w:rFonts w:ascii="Arial" w:hAnsi="Arial" w:cs="Arial"/>
                <w:sz w:val="22"/>
                <w:szCs w:val="22"/>
              </w:rPr>
              <w:t>D</w:t>
            </w:r>
            <w:r w:rsidRPr="00296BF0">
              <w:rPr>
                <w:rFonts w:ascii="Arial" w:hAnsi="Arial" w:cs="Arial"/>
                <w:sz w:val="22"/>
                <w:szCs w:val="22"/>
              </w:rPr>
              <w:t>?</w:t>
            </w:r>
          </w:p>
        </w:tc>
        <w:tc>
          <w:tcPr>
            <w:tcW w:w="5103" w:type="dxa"/>
          </w:tcPr>
          <w:p w14:paraId="2B0CEB58" w14:textId="77777777" w:rsidR="006A6F27" w:rsidRPr="00296BF0" w:rsidRDefault="006A6F27">
            <w:pPr>
              <w:rPr>
                <w:rFonts w:ascii="Arial" w:hAnsi="Arial" w:cs="Arial"/>
                <w:sz w:val="22"/>
                <w:szCs w:val="22"/>
              </w:rPr>
            </w:pPr>
          </w:p>
        </w:tc>
      </w:tr>
      <w:tr w:rsidR="00040325" w:rsidRPr="00296BF0" w14:paraId="568E5346" w14:textId="77777777" w:rsidTr="00E30696">
        <w:tc>
          <w:tcPr>
            <w:tcW w:w="9634" w:type="dxa"/>
            <w:gridSpan w:val="3"/>
            <w:shd w:val="clear" w:color="auto" w:fill="F2F2F2" w:themeFill="background1" w:themeFillShade="F2"/>
          </w:tcPr>
          <w:p w14:paraId="49E0F7C6" w14:textId="021853A8" w:rsidR="00040325" w:rsidRPr="00296BF0" w:rsidRDefault="00040325">
            <w:pPr>
              <w:rPr>
                <w:rFonts w:ascii="Arial" w:hAnsi="Arial" w:cs="Arial"/>
                <w:b/>
                <w:bCs/>
                <w:sz w:val="22"/>
                <w:szCs w:val="22"/>
              </w:rPr>
            </w:pPr>
            <w:r w:rsidRPr="00296BF0">
              <w:rPr>
                <w:rFonts w:ascii="Arial" w:hAnsi="Arial" w:cs="Arial"/>
                <w:b/>
                <w:bCs/>
                <w:sz w:val="22"/>
                <w:szCs w:val="22"/>
              </w:rPr>
              <w:t>Chapter 8</w:t>
            </w:r>
            <w:r w:rsidR="009B1128" w:rsidRPr="00296BF0">
              <w:rPr>
                <w:rFonts w:ascii="Arial" w:hAnsi="Arial" w:cs="Arial"/>
                <w:b/>
                <w:bCs/>
                <w:sz w:val="22"/>
                <w:szCs w:val="22"/>
              </w:rPr>
              <w:t>:</w:t>
            </w:r>
            <w:r w:rsidRPr="00296BF0">
              <w:rPr>
                <w:rFonts w:ascii="Arial" w:hAnsi="Arial" w:cs="Arial"/>
                <w:b/>
                <w:bCs/>
                <w:sz w:val="22"/>
                <w:szCs w:val="22"/>
              </w:rPr>
              <w:t xml:space="preserve"> Removing SSI adjustment event</w:t>
            </w:r>
          </w:p>
        </w:tc>
      </w:tr>
      <w:tr w:rsidR="006A6F27" w:rsidRPr="00296BF0" w14:paraId="7BE657E3" w14:textId="77777777" w:rsidTr="00296BF0">
        <w:tc>
          <w:tcPr>
            <w:tcW w:w="639" w:type="dxa"/>
          </w:tcPr>
          <w:p w14:paraId="7A758368" w14:textId="253B219F" w:rsidR="006A6F27" w:rsidRPr="00296BF0" w:rsidRDefault="00A00B2F">
            <w:pPr>
              <w:rPr>
                <w:rFonts w:ascii="Arial" w:hAnsi="Arial" w:cs="Arial"/>
                <w:sz w:val="22"/>
                <w:szCs w:val="22"/>
              </w:rPr>
            </w:pPr>
            <w:r w:rsidRPr="00296BF0">
              <w:rPr>
                <w:rFonts w:ascii="Arial" w:hAnsi="Arial" w:cs="Arial"/>
                <w:sz w:val="22"/>
                <w:szCs w:val="22"/>
              </w:rPr>
              <w:t>2</w:t>
            </w:r>
            <w:r w:rsidR="00C86B91" w:rsidRPr="00296BF0">
              <w:rPr>
                <w:rFonts w:ascii="Arial" w:hAnsi="Arial" w:cs="Arial"/>
                <w:sz w:val="22"/>
                <w:szCs w:val="22"/>
              </w:rPr>
              <w:t>0</w:t>
            </w:r>
          </w:p>
        </w:tc>
        <w:tc>
          <w:tcPr>
            <w:tcW w:w="3892" w:type="dxa"/>
          </w:tcPr>
          <w:p w14:paraId="093F226C" w14:textId="48F5481A" w:rsidR="006A6F27" w:rsidRPr="00296BF0" w:rsidRDefault="00203B7A" w:rsidP="006A6F27">
            <w:pPr>
              <w:rPr>
                <w:rFonts w:ascii="Arial" w:hAnsi="Arial" w:cs="Arial"/>
                <w:sz w:val="22"/>
                <w:szCs w:val="22"/>
              </w:rPr>
            </w:pPr>
            <w:r w:rsidRPr="00296BF0">
              <w:rPr>
                <w:rFonts w:ascii="Arial" w:hAnsi="Arial" w:cs="Arial"/>
                <w:sz w:val="22"/>
                <w:szCs w:val="22"/>
              </w:rPr>
              <w:t>Do you agree with the proposal to remove the SSI adjustment event? Please provide your reasons.</w:t>
            </w:r>
          </w:p>
        </w:tc>
        <w:tc>
          <w:tcPr>
            <w:tcW w:w="5103" w:type="dxa"/>
          </w:tcPr>
          <w:p w14:paraId="5618439A" w14:textId="77777777" w:rsidR="006A6F27" w:rsidRPr="00296BF0" w:rsidRDefault="006A6F27">
            <w:pPr>
              <w:rPr>
                <w:rFonts w:ascii="Arial" w:hAnsi="Arial" w:cs="Arial"/>
                <w:sz w:val="22"/>
                <w:szCs w:val="22"/>
              </w:rPr>
            </w:pPr>
          </w:p>
        </w:tc>
      </w:tr>
      <w:tr w:rsidR="006A6F27" w:rsidRPr="00296BF0" w14:paraId="35915B31" w14:textId="77777777" w:rsidTr="00296BF0">
        <w:tc>
          <w:tcPr>
            <w:tcW w:w="639" w:type="dxa"/>
          </w:tcPr>
          <w:p w14:paraId="4B1C46C8" w14:textId="35E83406" w:rsidR="006A6F27" w:rsidRPr="00296BF0" w:rsidRDefault="00A00B2F">
            <w:pPr>
              <w:rPr>
                <w:rFonts w:ascii="Arial" w:hAnsi="Arial" w:cs="Arial"/>
                <w:sz w:val="22"/>
                <w:szCs w:val="22"/>
              </w:rPr>
            </w:pPr>
            <w:r w:rsidRPr="00296BF0">
              <w:rPr>
                <w:rFonts w:ascii="Arial" w:hAnsi="Arial" w:cs="Arial"/>
                <w:sz w:val="22"/>
                <w:szCs w:val="22"/>
              </w:rPr>
              <w:t>2</w:t>
            </w:r>
            <w:r w:rsidR="00F34836" w:rsidRPr="00296BF0">
              <w:rPr>
                <w:rFonts w:ascii="Arial" w:hAnsi="Arial" w:cs="Arial"/>
                <w:sz w:val="22"/>
                <w:szCs w:val="22"/>
              </w:rPr>
              <w:t>1</w:t>
            </w:r>
          </w:p>
        </w:tc>
        <w:tc>
          <w:tcPr>
            <w:tcW w:w="3892" w:type="dxa"/>
          </w:tcPr>
          <w:p w14:paraId="16D4346F" w14:textId="75DA03C1" w:rsidR="006A6F27" w:rsidRPr="00296BF0" w:rsidRDefault="001D5A8F" w:rsidP="006A6F27">
            <w:pPr>
              <w:rPr>
                <w:rFonts w:ascii="Arial" w:hAnsi="Arial" w:cs="Arial"/>
                <w:sz w:val="22"/>
                <w:szCs w:val="22"/>
              </w:rPr>
            </w:pPr>
            <w:r w:rsidRPr="00296BF0">
              <w:rPr>
                <w:rFonts w:ascii="Arial" w:hAnsi="Arial" w:cs="Arial"/>
                <w:sz w:val="22"/>
                <w:szCs w:val="22"/>
              </w:rPr>
              <w:t xml:space="preserve">Do you have any comments on the drafting of the amendment to remove the SSI adjustment event in Appendix </w:t>
            </w:r>
            <w:r w:rsidR="00D711E5">
              <w:rPr>
                <w:rFonts w:ascii="Arial" w:hAnsi="Arial" w:cs="Arial"/>
                <w:sz w:val="22"/>
                <w:szCs w:val="22"/>
              </w:rPr>
              <w:t>D</w:t>
            </w:r>
            <w:r w:rsidRPr="00296BF0">
              <w:rPr>
                <w:rFonts w:ascii="Arial" w:hAnsi="Arial" w:cs="Arial"/>
                <w:sz w:val="22"/>
                <w:szCs w:val="22"/>
              </w:rPr>
              <w:t>?</w:t>
            </w:r>
          </w:p>
        </w:tc>
        <w:tc>
          <w:tcPr>
            <w:tcW w:w="5103" w:type="dxa"/>
          </w:tcPr>
          <w:p w14:paraId="65EC4EA1" w14:textId="77777777" w:rsidR="006A6F27" w:rsidRPr="00296BF0" w:rsidRDefault="006A6F27">
            <w:pPr>
              <w:rPr>
                <w:rFonts w:ascii="Arial" w:hAnsi="Arial" w:cs="Arial"/>
                <w:sz w:val="22"/>
                <w:szCs w:val="22"/>
              </w:rPr>
            </w:pPr>
          </w:p>
        </w:tc>
      </w:tr>
      <w:tr w:rsidR="00A149A2" w:rsidRPr="00296BF0" w14:paraId="63C35484" w14:textId="77777777" w:rsidTr="00E30696">
        <w:tc>
          <w:tcPr>
            <w:tcW w:w="9634" w:type="dxa"/>
            <w:gridSpan w:val="3"/>
            <w:shd w:val="clear" w:color="auto" w:fill="F2F2F2" w:themeFill="background1" w:themeFillShade="F2"/>
          </w:tcPr>
          <w:p w14:paraId="62E419EC" w14:textId="7A4E015C" w:rsidR="00A149A2" w:rsidRPr="00296BF0" w:rsidRDefault="00A149A2">
            <w:pPr>
              <w:rPr>
                <w:rFonts w:ascii="Arial" w:hAnsi="Arial" w:cs="Arial"/>
                <w:b/>
                <w:bCs/>
                <w:sz w:val="22"/>
                <w:szCs w:val="22"/>
              </w:rPr>
            </w:pPr>
            <w:r w:rsidRPr="00296BF0">
              <w:rPr>
                <w:rFonts w:ascii="Arial" w:hAnsi="Arial" w:cs="Arial"/>
                <w:b/>
                <w:bCs/>
                <w:sz w:val="22"/>
                <w:szCs w:val="22"/>
              </w:rPr>
              <w:t>Chapter 9</w:t>
            </w:r>
            <w:r w:rsidR="009B1128" w:rsidRPr="00296BF0">
              <w:rPr>
                <w:rFonts w:ascii="Arial" w:hAnsi="Arial" w:cs="Arial"/>
                <w:b/>
                <w:bCs/>
                <w:sz w:val="22"/>
                <w:szCs w:val="22"/>
              </w:rPr>
              <w:t>:</w:t>
            </w:r>
            <w:r w:rsidRPr="00296BF0">
              <w:rPr>
                <w:rFonts w:ascii="Arial" w:hAnsi="Arial" w:cs="Arial"/>
                <w:b/>
                <w:bCs/>
                <w:sz w:val="22"/>
                <w:szCs w:val="22"/>
              </w:rPr>
              <w:t xml:space="preserve"> Simple method period 1 extension</w:t>
            </w:r>
          </w:p>
        </w:tc>
      </w:tr>
      <w:tr w:rsidR="006A6F27" w:rsidRPr="00296BF0" w14:paraId="3886A226" w14:textId="77777777" w:rsidTr="00296BF0">
        <w:tc>
          <w:tcPr>
            <w:tcW w:w="639" w:type="dxa"/>
          </w:tcPr>
          <w:p w14:paraId="28E2ABC8" w14:textId="03980FA7" w:rsidR="006A6F27" w:rsidRPr="00296BF0" w:rsidRDefault="00A00B2F">
            <w:pPr>
              <w:rPr>
                <w:rFonts w:ascii="Arial" w:hAnsi="Arial" w:cs="Arial"/>
                <w:sz w:val="22"/>
                <w:szCs w:val="22"/>
              </w:rPr>
            </w:pPr>
            <w:r w:rsidRPr="00296BF0">
              <w:rPr>
                <w:rFonts w:ascii="Arial" w:hAnsi="Arial" w:cs="Arial"/>
                <w:sz w:val="22"/>
                <w:szCs w:val="22"/>
              </w:rPr>
              <w:t>2</w:t>
            </w:r>
            <w:r w:rsidR="00F34836" w:rsidRPr="00296BF0">
              <w:rPr>
                <w:rFonts w:ascii="Arial" w:hAnsi="Arial" w:cs="Arial"/>
                <w:sz w:val="22"/>
                <w:szCs w:val="22"/>
              </w:rPr>
              <w:t>2</w:t>
            </w:r>
          </w:p>
        </w:tc>
        <w:tc>
          <w:tcPr>
            <w:tcW w:w="3892" w:type="dxa"/>
          </w:tcPr>
          <w:p w14:paraId="1AE4E835" w14:textId="197EFF8B" w:rsidR="006A6F27" w:rsidRPr="00296BF0" w:rsidRDefault="005E3B01" w:rsidP="006A6F27">
            <w:pPr>
              <w:rPr>
                <w:rFonts w:ascii="Arial" w:hAnsi="Arial" w:cs="Arial"/>
                <w:sz w:val="22"/>
                <w:szCs w:val="22"/>
              </w:rPr>
            </w:pPr>
            <w:r w:rsidRPr="00296BF0">
              <w:rPr>
                <w:rFonts w:ascii="Arial" w:hAnsi="Arial" w:cs="Arial"/>
                <w:sz w:val="22"/>
                <w:szCs w:val="22"/>
              </w:rPr>
              <w:t xml:space="preserve">Do you agree with the proposal to extend the first simple method for up to two years (to end 31 March 2029 or 31 March 2030 if needed), so that Transpower can complete its operational review of its methods for benefit-based charging in a </w:t>
            </w:r>
            <w:proofErr w:type="gramStart"/>
            <w:r w:rsidRPr="00296BF0">
              <w:rPr>
                <w:rFonts w:ascii="Arial" w:hAnsi="Arial" w:cs="Arial"/>
                <w:sz w:val="22"/>
                <w:szCs w:val="22"/>
              </w:rPr>
              <w:t>more timely</w:t>
            </w:r>
            <w:proofErr w:type="gramEnd"/>
            <w:r w:rsidRPr="00296BF0">
              <w:rPr>
                <w:rFonts w:ascii="Arial" w:hAnsi="Arial" w:cs="Arial"/>
                <w:sz w:val="22"/>
                <w:szCs w:val="22"/>
              </w:rPr>
              <w:t xml:space="preserve"> manner? Please provide your reasons.</w:t>
            </w:r>
          </w:p>
        </w:tc>
        <w:tc>
          <w:tcPr>
            <w:tcW w:w="5103" w:type="dxa"/>
          </w:tcPr>
          <w:p w14:paraId="5AACF6D8" w14:textId="77777777" w:rsidR="006A6F27" w:rsidRPr="00296BF0" w:rsidRDefault="006A6F27">
            <w:pPr>
              <w:rPr>
                <w:rFonts w:ascii="Arial" w:hAnsi="Arial" w:cs="Arial"/>
                <w:sz w:val="22"/>
                <w:szCs w:val="22"/>
              </w:rPr>
            </w:pPr>
          </w:p>
        </w:tc>
      </w:tr>
      <w:tr w:rsidR="006A6F27" w:rsidRPr="00296BF0" w14:paraId="27899CD0" w14:textId="77777777" w:rsidTr="00296BF0">
        <w:tc>
          <w:tcPr>
            <w:tcW w:w="639" w:type="dxa"/>
          </w:tcPr>
          <w:p w14:paraId="5D53BA7E" w14:textId="57E53598" w:rsidR="006A6F27" w:rsidRPr="00296BF0" w:rsidRDefault="00A00B2F">
            <w:pPr>
              <w:rPr>
                <w:rFonts w:ascii="Arial" w:hAnsi="Arial" w:cs="Arial"/>
                <w:sz w:val="22"/>
                <w:szCs w:val="22"/>
              </w:rPr>
            </w:pPr>
            <w:r w:rsidRPr="00296BF0">
              <w:rPr>
                <w:rFonts w:ascii="Arial" w:hAnsi="Arial" w:cs="Arial"/>
                <w:sz w:val="22"/>
                <w:szCs w:val="22"/>
              </w:rPr>
              <w:t>2</w:t>
            </w:r>
            <w:r w:rsidR="00F34836" w:rsidRPr="00296BF0">
              <w:rPr>
                <w:rFonts w:ascii="Arial" w:hAnsi="Arial" w:cs="Arial"/>
                <w:sz w:val="22"/>
                <w:szCs w:val="22"/>
              </w:rPr>
              <w:t>3</w:t>
            </w:r>
          </w:p>
        </w:tc>
        <w:tc>
          <w:tcPr>
            <w:tcW w:w="3892" w:type="dxa"/>
          </w:tcPr>
          <w:p w14:paraId="70266B5B" w14:textId="11000A9D" w:rsidR="006A6F27" w:rsidRPr="00296BF0" w:rsidRDefault="0071379A" w:rsidP="006A6F27">
            <w:pPr>
              <w:rPr>
                <w:rFonts w:ascii="Arial" w:hAnsi="Arial" w:cs="Arial"/>
                <w:sz w:val="22"/>
                <w:szCs w:val="22"/>
              </w:rPr>
            </w:pPr>
            <w:r w:rsidRPr="00296BF0">
              <w:rPr>
                <w:rFonts w:ascii="Arial" w:hAnsi="Arial" w:cs="Arial"/>
                <w:sz w:val="22"/>
                <w:szCs w:val="22"/>
              </w:rPr>
              <w:t>Has the Authority correctly identified the risk that a delay may involve efficiency costs as historical allocators risk being less than a reasonable proxy for net private benefits? Please provide your reasons.</w:t>
            </w:r>
          </w:p>
        </w:tc>
        <w:tc>
          <w:tcPr>
            <w:tcW w:w="5103" w:type="dxa"/>
          </w:tcPr>
          <w:p w14:paraId="0CF17E5E" w14:textId="77777777" w:rsidR="006A6F27" w:rsidRPr="00296BF0" w:rsidRDefault="006A6F27">
            <w:pPr>
              <w:rPr>
                <w:rFonts w:ascii="Arial" w:hAnsi="Arial" w:cs="Arial"/>
                <w:sz w:val="22"/>
                <w:szCs w:val="22"/>
              </w:rPr>
            </w:pPr>
          </w:p>
        </w:tc>
      </w:tr>
      <w:tr w:rsidR="006A6F27" w:rsidRPr="00296BF0" w14:paraId="16523801" w14:textId="77777777" w:rsidTr="00296BF0">
        <w:tc>
          <w:tcPr>
            <w:tcW w:w="639" w:type="dxa"/>
          </w:tcPr>
          <w:p w14:paraId="13000145" w14:textId="0A3A05E1" w:rsidR="006A6F27" w:rsidRPr="00296BF0" w:rsidRDefault="00A00B2F">
            <w:pPr>
              <w:rPr>
                <w:rFonts w:ascii="Arial" w:hAnsi="Arial" w:cs="Arial"/>
                <w:sz w:val="22"/>
                <w:szCs w:val="22"/>
              </w:rPr>
            </w:pPr>
            <w:r w:rsidRPr="00296BF0">
              <w:rPr>
                <w:rFonts w:ascii="Arial" w:hAnsi="Arial" w:cs="Arial"/>
                <w:sz w:val="22"/>
                <w:szCs w:val="22"/>
              </w:rPr>
              <w:t>2</w:t>
            </w:r>
            <w:r w:rsidR="00F34836" w:rsidRPr="00296BF0">
              <w:rPr>
                <w:rFonts w:ascii="Arial" w:hAnsi="Arial" w:cs="Arial"/>
                <w:sz w:val="22"/>
                <w:szCs w:val="22"/>
              </w:rPr>
              <w:t>4</w:t>
            </w:r>
          </w:p>
        </w:tc>
        <w:tc>
          <w:tcPr>
            <w:tcW w:w="3892" w:type="dxa"/>
          </w:tcPr>
          <w:p w14:paraId="023D6BAB" w14:textId="1F1DD3A5" w:rsidR="006A6F27" w:rsidRPr="00296BF0" w:rsidRDefault="00D1434A" w:rsidP="006A6F27">
            <w:pPr>
              <w:rPr>
                <w:rFonts w:ascii="Arial" w:hAnsi="Arial" w:cs="Arial"/>
                <w:sz w:val="22"/>
                <w:szCs w:val="22"/>
              </w:rPr>
            </w:pPr>
            <w:r w:rsidRPr="00296BF0">
              <w:rPr>
                <w:rFonts w:ascii="Arial" w:hAnsi="Arial" w:cs="Arial"/>
                <w:sz w:val="22"/>
                <w:szCs w:val="22"/>
              </w:rPr>
              <w:t>Do you agree that, if Transpower cannot convince the Authority that the review can be completed within a timeframe that would allow simple method allocators to be updated for the 2030/31 pricing year at the latest, then Transpower should first update the simple method allocators as currently required? Please provide your reasons.</w:t>
            </w:r>
          </w:p>
        </w:tc>
        <w:tc>
          <w:tcPr>
            <w:tcW w:w="5103" w:type="dxa"/>
          </w:tcPr>
          <w:p w14:paraId="09582A0F" w14:textId="77777777" w:rsidR="006A6F27" w:rsidRPr="00296BF0" w:rsidRDefault="006A6F27">
            <w:pPr>
              <w:rPr>
                <w:rFonts w:ascii="Arial" w:hAnsi="Arial" w:cs="Arial"/>
                <w:sz w:val="22"/>
                <w:szCs w:val="22"/>
              </w:rPr>
            </w:pPr>
          </w:p>
        </w:tc>
      </w:tr>
      <w:tr w:rsidR="006A6F27" w:rsidRPr="00296BF0" w14:paraId="517318CB" w14:textId="77777777" w:rsidTr="00296BF0">
        <w:tc>
          <w:tcPr>
            <w:tcW w:w="639" w:type="dxa"/>
          </w:tcPr>
          <w:p w14:paraId="7A843EB5" w14:textId="775D9849" w:rsidR="006A6F27" w:rsidRPr="00296BF0" w:rsidRDefault="00A00B2F">
            <w:pPr>
              <w:rPr>
                <w:rFonts w:ascii="Arial" w:hAnsi="Arial" w:cs="Arial"/>
                <w:sz w:val="22"/>
                <w:szCs w:val="22"/>
              </w:rPr>
            </w:pPr>
            <w:r w:rsidRPr="00296BF0">
              <w:rPr>
                <w:rFonts w:ascii="Arial" w:hAnsi="Arial" w:cs="Arial"/>
                <w:sz w:val="22"/>
                <w:szCs w:val="22"/>
              </w:rPr>
              <w:t>2</w:t>
            </w:r>
            <w:r w:rsidR="00F34836" w:rsidRPr="00296BF0">
              <w:rPr>
                <w:rFonts w:ascii="Arial" w:hAnsi="Arial" w:cs="Arial"/>
                <w:sz w:val="22"/>
                <w:szCs w:val="22"/>
              </w:rPr>
              <w:t>5</w:t>
            </w:r>
          </w:p>
        </w:tc>
        <w:tc>
          <w:tcPr>
            <w:tcW w:w="3892" w:type="dxa"/>
          </w:tcPr>
          <w:p w14:paraId="3E66A20F" w14:textId="6B26B319" w:rsidR="006A6F27" w:rsidRPr="00296BF0" w:rsidRDefault="00C31BF3" w:rsidP="006A6F27">
            <w:pPr>
              <w:rPr>
                <w:rFonts w:ascii="Arial" w:hAnsi="Arial" w:cs="Arial"/>
                <w:sz w:val="22"/>
                <w:szCs w:val="22"/>
              </w:rPr>
            </w:pPr>
            <w:r w:rsidRPr="00296BF0">
              <w:rPr>
                <w:rFonts w:ascii="Arial" w:hAnsi="Arial" w:cs="Arial"/>
                <w:sz w:val="22"/>
                <w:szCs w:val="22"/>
              </w:rPr>
              <w:t xml:space="preserve">Do you have any comments on the drafting of the amendment to extend </w:t>
            </w:r>
            <w:r w:rsidRPr="00296BF0">
              <w:rPr>
                <w:rFonts w:ascii="Arial" w:hAnsi="Arial" w:cs="Arial"/>
                <w:sz w:val="22"/>
                <w:szCs w:val="22"/>
              </w:rPr>
              <w:lastRenderedPageBreak/>
              <w:t xml:space="preserve">the first simple method period in Appendix </w:t>
            </w:r>
            <w:r w:rsidR="00D711E5">
              <w:rPr>
                <w:rFonts w:ascii="Arial" w:hAnsi="Arial" w:cs="Arial"/>
                <w:sz w:val="22"/>
                <w:szCs w:val="22"/>
              </w:rPr>
              <w:t>D</w:t>
            </w:r>
            <w:r w:rsidRPr="00296BF0">
              <w:rPr>
                <w:rFonts w:ascii="Arial" w:hAnsi="Arial" w:cs="Arial"/>
                <w:sz w:val="22"/>
                <w:szCs w:val="22"/>
              </w:rPr>
              <w:t>?</w:t>
            </w:r>
          </w:p>
        </w:tc>
        <w:tc>
          <w:tcPr>
            <w:tcW w:w="5103" w:type="dxa"/>
          </w:tcPr>
          <w:p w14:paraId="0264007B" w14:textId="77777777" w:rsidR="006A6F27" w:rsidRPr="00296BF0" w:rsidRDefault="006A6F27">
            <w:pPr>
              <w:rPr>
                <w:rFonts w:ascii="Arial" w:hAnsi="Arial" w:cs="Arial"/>
                <w:sz w:val="22"/>
                <w:szCs w:val="22"/>
              </w:rPr>
            </w:pPr>
          </w:p>
        </w:tc>
      </w:tr>
      <w:tr w:rsidR="00C31BF3" w:rsidRPr="00296BF0" w14:paraId="0084B47E" w14:textId="77777777" w:rsidTr="00E30696">
        <w:tc>
          <w:tcPr>
            <w:tcW w:w="9634" w:type="dxa"/>
            <w:gridSpan w:val="3"/>
            <w:shd w:val="clear" w:color="auto" w:fill="F2F2F2" w:themeFill="background1" w:themeFillShade="F2"/>
          </w:tcPr>
          <w:p w14:paraId="129F336E" w14:textId="1D972282" w:rsidR="00C31BF3" w:rsidRPr="00296BF0" w:rsidRDefault="00C31BF3">
            <w:pPr>
              <w:rPr>
                <w:rFonts w:ascii="Arial" w:hAnsi="Arial" w:cs="Arial"/>
                <w:b/>
                <w:bCs/>
                <w:sz w:val="22"/>
                <w:szCs w:val="22"/>
              </w:rPr>
            </w:pPr>
            <w:r w:rsidRPr="00296BF0">
              <w:rPr>
                <w:rFonts w:ascii="Arial" w:hAnsi="Arial" w:cs="Arial"/>
                <w:b/>
                <w:bCs/>
                <w:sz w:val="22"/>
                <w:szCs w:val="22"/>
              </w:rPr>
              <w:t>Chapter 10</w:t>
            </w:r>
            <w:r w:rsidR="009B1128" w:rsidRPr="00296BF0">
              <w:rPr>
                <w:rFonts w:ascii="Arial" w:hAnsi="Arial" w:cs="Arial"/>
                <w:b/>
                <w:bCs/>
                <w:sz w:val="22"/>
                <w:szCs w:val="22"/>
              </w:rPr>
              <w:t>:</w:t>
            </w:r>
            <w:r w:rsidRPr="00296BF0">
              <w:rPr>
                <w:rFonts w:ascii="Arial" w:hAnsi="Arial" w:cs="Arial"/>
                <w:b/>
                <w:bCs/>
                <w:sz w:val="22"/>
                <w:szCs w:val="22"/>
              </w:rPr>
              <w:t xml:space="preserve"> Drafting refinements</w:t>
            </w:r>
          </w:p>
        </w:tc>
      </w:tr>
      <w:tr w:rsidR="006A6F27" w:rsidRPr="00296BF0" w14:paraId="61676EA8" w14:textId="77777777" w:rsidTr="00296BF0">
        <w:tc>
          <w:tcPr>
            <w:tcW w:w="639" w:type="dxa"/>
          </w:tcPr>
          <w:p w14:paraId="2599847B" w14:textId="3B4E8606" w:rsidR="006A6F27" w:rsidRPr="00296BF0" w:rsidRDefault="00A00B2F">
            <w:pPr>
              <w:rPr>
                <w:rFonts w:ascii="Arial" w:hAnsi="Arial" w:cs="Arial"/>
                <w:sz w:val="22"/>
                <w:szCs w:val="22"/>
              </w:rPr>
            </w:pPr>
            <w:r w:rsidRPr="00296BF0">
              <w:rPr>
                <w:rFonts w:ascii="Arial" w:hAnsi="Arial" w:cs="Arial"/>
                <w:sz w:val="22"/>
                <w:szCs w:val="22"/>
              </w:rPr>
              <w:t>2</w:t>
            </w:r>
            <w:r w:rsidR="00F34836" w:rsidRPr="00296BF0">
              <w:rPr>
                <w:rFonts w:ascii="Arial" w:hAnsi="Arial" w:cs="Arial"/>
                <w:sz w:val="22"/>
                <w:szCs w:val="22"/>
              </w:rPr>
              <w:t>6</w:t>
            </w:r>
          </w:p>
        </w:tc>
        <w:tc>
          <w:tcPr>
            <w:tcW w:w="3892" w:type="dxa"/>
          </w:tcPr>
          <w:p w14:paraId="0D7C33E9" w14:textId="4A992208" w:rsidR="006A6F27" w:rsidRPr="00296BF0" w:rsidRDefault="00AB61CF" w:rsidP="006A6F27">
            <w:pPr>
              <w:rPr>
                <w:rFonts w:ascii="Arial" w:hAnsi="Arial" w:cs="Arial"/>
                <w:sz w:val="22"/>
                <w:szCs w:val="22"/>
              </w:rPr>
            </w:pPr>
            <w:r w:rsidRPr="00296BF0">
              <w:rPr>
                <w:rFonts w:ascii="Arial" w:hAnsi="Arial" w:cs="Arial"/>
                <w:sz w:val="22"/>
                <w:szCs w:val="22"/>
              </w:rPr>
              <w:t xml:space="preserve">The Authority is not consulting on technical and non-controversial drafting tidy-ups of the </w:t>
            </w:r>
            <w:proofErr w:type="gramStart"/>
            <w:r w:rsidRPr="00296BF0">
              <w:rPr>
                <w:rFonts w:ascii="Arial" w:hAnsi="Arial" w:cs="Arial"/>
                <w:sz w:val="22"/>
                <w:szCs w:val="22"/>
              </w:rPr>
              <w:t>TPM,</w:t>
            </w:r>
            <w:proofErr w:type="gramEnd"/>
            <w:r w:rsidRPr="00296BF0">
              <w:rPr>
                <w:rFonts w:ascii="Arial" w:hAnsi="Arial" w:cs="Arial"/>
                <w:sz w:val="22"/>
                <w:szCs w:val="22"/>
              </w:rPr>
              <w:t xml:space="preserve"> however, do you have any feedback on any potential re-drafting errors or additional suggestions?</w:t>
            </w:r>
          </w:p>
        </w:tc>
        <w:tc>
          <w:tcPr>
            <w:tcW w:w="5103" w:type="dxa"/>
          </w:tcPr>
          <w:p w14:paraId="70E02139" w14:textId="77777777" w:rsidR="006A6F27" w:rsidRPr="00296BF0" w:rsidRDefault="006A6F27">
            <w:pPr>
              <w:rPr>
                <w:rFonts w:ascii="Arial" w:hAnsi="Arial" w:cs="Arial"/>
                <w:sz w:val="22"/>
                <w:szCs w:val="22"/>
              </w:rPr>
            </w:pPr>
          </w:p>
        </w:tc>
      </w:tr>
      <w:tr w:rsidR="00826DFF" w:rsidRPr="00296BF0" w14:paraId="15B74C02" w14:textId="77777777" w:rsidTr="00E30696">
        <w:tc>
          <w:tcPr>
            <w:tcW w:w="9634" w:type="dxa"/>
            <w:gridSpan w:val="3"/>
            <w:shd w:val="clear" w:color="auto" w:fill="F2F2F2" w:themeFill="background1" w:themeFillShade="F2"/>
          </w:tcPr>
          <w:p w14:paraId="4332FA40" w14:textId="4A1397FD" w:rsidR="00826DFF" w:rsidRPr="00296BF0" w:rsidRDefault="00826DFF">
            <w:pPr>
              <w:rPr>
                <w:rFonts w:ascii="Arial" w:hAnsi="Arial" w:cs="Arial"/>
                <w:b/>
                <w:bCs/>
                <w:sz w:val="22"/>
                <w:szCs w:val="22"/>
              </w:rPr>
            </w:pPr>
            <w:r w:rsidRPr="00296BF0">
              <w:rPr>
                <w:rFonts w:ascii="Arial" w:hAnsi="Arial" w:cs="Arial"/>
                <w:b/>
                <w:bCs/>
                <w:sz w:val="22"/>
                <w:szCs w:val="22"/>
              </w:rPr>
              <w:t>Chapter 11</w:t>
            </w:r>
            <w:r w:rsidR="009B1128" w:rsidRPr="00296BF0">
              <w:rPr>
                <w:rFonts w:ascii="Arial" w:hAnsi="Arial" w:cs="Arial"/>
                <w:b/>
                <w:bCs/>
                <w:sz w:val="22"/>
                <w:szCs w:val="22"/>
              </w:rPr>
              <w:t>:</w:t>
            </w:r>
            <w:r w:rsidRPr="00296BF0">
              <w:rPr>
                <w:rFonts w:ascii="Arial" w:hAnsi="Arial" w:cs="Arial"/>
                <w:b/>
                <w:bCs/>
                <w:sz w:val="22"/>
                <w:szCs w:val="22"/>
              </w:rPr>
              <w:t xml:space="preserve"> Fixing shard connection asset allocators</w:t>
            </w:r>
          </w:p>
        </w:tc>
      </w:tr>
      <w:tr w:rsidR="006A6F27" w:rsidRPr="00296BF0" w14:paraId="366617BE" w14:textId="77777777" w:rsidTr="00296BF0">
        <w:tc>
          <w:tcPr>
            <w:tcW w:w="639" w:type="dxa"/>
          </w:tcPr>
          <w:p w14:paraId="64061FF9" w14:textId="79D74D61" w:rsidR="006A6F27" w:rsidRPr="00296BF0" w:rsidRDefault="00A00B2F">
            <w:pPr>
              <w:rPr>
                <w:rFonts w:ascii="Arial" w:hAnsi="Arial" w:cs="Arial"/>
                <w:sz w:val="22"/>
                <w:szCs w:val="22"/>
              </w:rPr>
            </w:pPr>
            <w:r w:rsidRPr="00296BF0">
              <w:rPr>
                <w:rFonts w:ascii="Arial" w:hAnsi="Arial" w:cs="Arial"/>
                <w:sz w:val="22"/>
                <w:szCs w:val="22"/>
              </w:rPr>
              <w:t>2</w:t>
            </w:r>
            <w:r w:rsidR="00F34836" w:rsidRPr="00296BF0">
              <w:rPr>
                <w:rFonts w:ascii="Arial" w:hAnsi="Arial" w:cs="Arial"/>
                <w:sz w:val="22"/>
                <w:szCs w:val="22"/>
              </w:rPr>
              <w:t>7</w:t>
            </w:r>
          </w:p>
        </w:tc>
        <w:tc>
          <w:tcPr>
            <w:tcW w:w="3892" w:type="dxa"/>
          </w:tcPr>
          <w:p w14:paraId="5A057EFA" w14:textId="2CCFB17A" w:rsidR="006A6F27" w:rsidRPr="00296BF0" w:rsidRDefault="00C66B01" w:rsidP="006A6F27">
            <w:pPr>
              <w:rPr>
                <w:rFonts w:ascii="Arial" w:hAnsi="Arial" w:cs="Arial"/>
                <w:sz w:val="22"/>
                <w:szCs w:val="22"/>
              </w:rPr>
            </w:pPr>
            <w:r w:rsidRPr="00296BF0">
              <w:rPr>
                <w:rFonts w:ascii="Arial" w:hAnsi="Arial" w:cs="Arial"/>
                <w:sz w:val="22"/>
                <w:szCs w:val="22"/>
              </w:rPr>
              <w:t>Has the Authority correctly identified a potential issue with the current approach to determining customers’ shares of cost at shared connection assets?</w:t>
            </w:r>
          </w:p>
        </w:tc>
        <w:tc>
          <w:tcPr>
            <w:tcW w:w="5103" w:type="dxa"/>
          </w:tcPr>
          <w:p w14:paraId="1FE52FC3" w14:textId="77777777" w:rsidR="006A6F27" w:rsidRPr="00296BF0" w:rsidRDefault="006A6F27">
            <w:pPr>
              <w:rPr>
                <w:rFonts w:ascii="Arial" w:hAnsi="Arial" w:cs="Arial"/>
                <w:sz w:val="22"/>
                <w:szCs w:val="22"/>
              </w:rPr>
            </w:pPr>
          </w:p>
        </w:tc>
      </w:tr>
      <w:tr w:rsidR="006A6F27" w:rsidRPr="00296BF0" w14:paraId="018E5310" w14:textId="77777777" w:rsidTr="00296BF0">
        <w:tc>
          <w:tcPr>
            <w:tcW w:w="639" w:type="dxa"/>
          </w:tcPr>
          <w:p w14:paraId="2EC5991F" w14:textId="18427E4A" w:rsidR="006A6F27" w:rsidRPr="00296BF0" w:rsidRDefault="00A00B2F">
            <w:pPr>
              <w:rPr>
                <w:rFonts w:ascii="Arial" w:hAnsi="Arial" w:cs="Arial"/>
                <w:sz w:val="22"/>
                <w:szCs w:val="22"/>
              </w:rPr>
            </w:pPr>
            <w:r w:rsidRPr="00296BF0">
              <w:rPr>
                <w:rFonts w:ascii="Arial" w:hAnsi="Arial" w:cs="Arial"/>
                <w:sz w:val="22"/>
                <w:szCs w:val="22"/>
              </w:rPr>
              <w:t>2</w:t>
            </w:r>
            <w:r w:rsidR="00F34836" w:rsidRPr="00296BF0">
              <w:rPr>
                <w:rFonts w:ascii="Arial" w:hAnsi="Arial" w:cs="Arial"/>
                <w:sz w:val="22"/>
                <w:szCs w:val="22"/>
              </w:rPr>
              <w:t>8</w:t>
            </w:r>
          </w:p>
        </w:tc>
        <w:tc>
          <w:tcPr>
            <w:tcW w:w="3892" w:type="dxa"/>
          </w:tcPr>
          <w:p w14:paraId="6D90027D" w14:textId="05AB623C" w:rsidR="006A6F27" w:rsidRPr="00296BF0" w:rsidRDefault="00C529C2" w:rsidP="006A6F27">
            <w:pPr>
              <w:rPr>
                <w:rFonts w:ascii="Arial" w:hAnsi="Arial" w:cs="Arial"/>
                <w:sz w:val="22"/>
                <w:szCs w:val="22"/>
              </w:rPr>
            </w:pPr>
            <w:r w:rsidRPr="00296BF0">
              <w:rPr>
                <w:rFonts w:ascii="Arial" w:hAnsi="Arial" w:cs="Arial"/>
                <w:sz w:val="22"/>
                <w:szCs w:val="22"/>
              </w:rPr>
              <w:t>Do you agree with the Authority’s assessment that, while the immediate benefit of the proposal is likely marginal, it is nonetheless useful to address this issue to remove volatility in shares (and thus charges) and to protect against issues becoming bigger in future?</w:t>
            </w:r>
          </w:p>
        </w:tc>
        <w:tc>
          <w:tcPr>
            <w:tcW w:w="5103" w:type="dxa"/>
          </w:tcPr>
          <w:p w14:paraId="48BC7982" w14:textId="77777777" w:rsidR="006A6F27" w:rsidRPr="00296BF0" w:rsidRDefault="006A6F27">
            <w:pPr>
              <w:rPr>
                <w:rFonts w:ascii="Arial" w:hAnsi="Arial" w:cs="Arial"/>
                <w:sz w:val="22"/>
                <w:szCs w:val="22"/>
              </w:rPr>
            </w:pPr>
          </w:p>
        </w:tc>
      </w:tr>
      <w:tr w:rsidR="006A6F27" w:rsidRPr="00296BF0" w14:paraId="6B66320B" w14:textId="77777777" w:rsidTr="00296BF0">
        <w:tc>
          <w:tcPr>
            <w:tcW w:w="639" w:type="dxa"/>
          </w:tcPr>
          <w:p w14:paraId="388B7029" w14:textId="50A7DDB1" w:rsidR="006A6F27" w:rsidRPr="00296BF0" w:rsidRDefault="00F34836">
            <w:pPr>
              <w:rPr>
                <w:rFonts w:ascii="Arial" w:hAnsi="Arial" w:cs="Arial"/>
                <w:sz w:val="22"/>
                <w:szCs w:val="22"/>
              </w:rPr>
            </w:pPr>
            <w:r w:rsidRPr="00296BF0">
              <w:rPr>
                <w:rFonts w:ascii="Arial" w:hAnsi="Arial" w:cs="Arial"/>
                <w:sz w:val="22"/>
                <w:szCs w:val="22"/>
              </w:rPr>
              <w:t>29</w:t>
            </w:r>
          </w:p>
        </w:tc>
        <w:tc>
          <w:tcPr>
            <w:tcW w:w="3892" w:type="dxa"/>
          </w:tcPr>
          <w:p w14:paraId="620F101F" w14:textId="77777777" w:rsidR="006A6F27" w:rsidRPr="00296BF0" w:rsidRDefault="00412D5C" w:rsidP="006A6F27">
            <w:pPr>
              <w:rPr>
                <w:rFonts w:ascii="Arial" w:hAnsi="Arial" w:cs="Arial"/>
                <w:sz w:val="22"/>
                <w:szCs w:val="22"/>
              </w:rPr>
            </w:pPr>
            <w:r w:rsidRPr="00296BF0">
              <w:rPr>
                <w:rFonts w:ascii="Arial" w:hAnsi="Arial" w:cs="Arial"/>
                <w:sz w:val="22"/>
                <w:szCs w:val="22"/>
              </w:rPr>
              <w:t>Do you have any initial feedback on the Authority’s current thinking to inform a possible amendment to the TPM (to be developed and consulted on in future) to</w:t>
            </w:r>
            <w:r w:rsidR="00C423E2" w:rsidRPr="00296BF0">
              <w:rPr>
                <w:rFonts w:ascii="Arial" w:hAnsi="Arial" w:cs="Arial"/>
                <w:sz w:val="22"/>
                <w:szCs w:val="22"/>
              </w:rPr>
              <w:t>:</w:t>
            </w:r>
            <w:r w:rsidR="00C423E2" w:rsidRPr="00296BF0">
              <w:rPr>
                <w:rFonts w:ascii="Arial" w:hAnsi="Arial" w:cs="Arial"/>
                <w:sz w:val="22"/>
                <w:szCs w:val="22"/>
              </w:rPr>
              <w:br/>
              <w:t xml:space="preserve">A: </w:t>
            </w:r>
            <w:r w:rsidR="00A92442" w:rsidRPr="00296BF0">
              <w:rPr>
                <w:rFonts w:ascii="Arial" w:hAnsi="Arial" w:cs="Arial"/>
                <w:sz w:val="22"/>
                <w:szCs w:val="22"/>
              </w:rPr>
              <w:t>Fix cost shares at shared connection assets at those that applied in the 2026 pricing year?</w:t>
            </w:r>
          </w:p>
          <w:p w14:paraId="585AAF08" w14:textId="0D64E1C0" w:rsidR="00A92442" w:rsidRPr="00296BF0" w:rsidRDefault="00A92442" w:rsidP="006A6F27">
            <w:pPr>
              <w:rPr>
                <w:rFonts w:ascii="Arial" w:hAnsi="Arial" w:cs="Arial"/>
                <w:sz w:val="22"/>
                <w:szCs w:val="22"/>
              </w:rPr>
            </w:pPr>
            <w:r w:rsidRPr="00296BF0">
              <w:rPr>
                <w:rFonts w:ascii="Arial" w:hAnsi="Arial" w:cs="Arial"/>
                <w:sz w:val="22"/>
                <w:szCs w:val="22"/>
              </w:rPr>
              <w:t>B:</w:t>
            </w:r>
            <w:r w:rsidR="00CC5CFB" w:rsidRPr="00296BF0">
              <w:rPr>
                <w:rFonts w:ascii="Arial" w:hAnsi="Arial" w:cs="Arial"/>
                <w:sz w:val="22"/>
                <w:szCs w:val="22"/>
              </w:rPr>
              <w:t xml:space="preserve"> Fix the shares for a new customer at a shared connection asset based on Transpower’s estimate given the capacity and type of the customer’s plant, or some other approach?</w:t>
            </w:r>
            <w:r w:rsidR="00947059" w:rsidRPr="00296BF0">
              <w:rPr>
                <w:rFonts w:ascii="Arial" w:hAnsi="Arial" w:cs="Arial"/>
                <w:sz w:val="22"/>
                <w:szCs w:val="22"/>
              </w:rPr>
              <w:br/>
              <w:t>C: Not make any provision for those fixed shares to adjust even when there is a material and enduring change in the AMDIC of one of the customers sharing the connection asset?</w:t>
            </w:r>
            <w:r w:rsidR="00947059" w:rsidRPr="00296BF0">
              <w:rPr>
                <w:rFonts w:ascii="Arial" w:hAnsi="Arial" w:cs="Arial"/>
                <w:sz w:val="22"/>
                <w:szCs w:val="22"/>
              </w:rPr>
              <w:br/>
              <w:t>D:</w:t>
            </w:r>
            <w:r w:rsidR="00846C0C" w:rsidRPr="00296BF0">
              <w:rPr>
                <w:rFonts w:ascii="Arial" w:hAnsi="Arial" w:cs="Arial"/>
                <w:sz w:val="22"/>
                <w:szCs w:val="22"/>
              </w:rPr>
              <w:t xml:space="preserve"> Add a clause to clarify that shares will be recalculated when a change in AMDIC by one or more customers at the shared connection asset necessitates an upgrade?</w:t>
            </w:r>
          </w:p>
        </w:tc>
        <w:tc>
          <w:tcPr>
            <w:tcW w:w="5103" w:type="dxa"/>
          </w:tcPr>
          <w:p w14:paraId="29F9B374" w14:textId="77777777" w:rsidR="006A6F27" w:rsidRPr="00296BF0" w:rsidRDefault="006A6F27">
            <w:pPr>
              <w:rPr>
                <w:rFonts w:ascii="Arial" w:hAnsi="Arial" w:cs="Arial"/>
                <w:sz w:val="22"/>
                <w:szCs w:val="22"/>
              </w:rPr>
            </w:pPr>
          </w:p>
        </w:tc>
      </w:tr>
      <w:tr w:rsidR="00846C0C" w:rsidRPr="00296BF0" w14:paraId="18B2B125" w14:textId="77777777" w:rsidTr="00E30696">
        <w:tc>
          <w:tcPr>
            <w:tcW w:w="9634" w:type="dxa"/>
            <w:gridSpan w:val="3"/>
            <w:shd w:val="clear" w:color="auto" w:fill="F2F2F2" w:themeFill="background1" w:themeFillShade="F2"/>
          </w:tcPr>
          <w:p w14:paraId="4D2828D1" w14:textId="6CBA98AD" w:rsidR="00846C0C" w:rsidRPr="00296BF0" w:rsidRDefault="00846C0C">
            <w:pPr>
              <w:rPr>
                <w:rFonts w:ascii="Arial" w:hAnsi="Arial" w:cs="Arial"/>
                <w:b/>
                <w:bCs/>
                <w:sz w:val="22"/>
                <w:szCs w:val="22"/>
              </w:rPr>
            </w:pPr>
            <w:r w:rsidRPr="00296BF0">
              <w:rPr>
                <w:rFonts w:ascii="Arial" w:hAnsi="Arial" w:cs="Arial"/>
                <w:b/>
                <w:bCs/>
                <w:sz w:val="22"/>
                <w:szCs w:val="22"/>
              </w:rPr>
              <w:t>Chapter 12</w:t>
            </w:r>
            <w:r w:rsidR="009B1128" w:rsidRPr="00296BF0">
              <w:rPr>
                <w:rFonts w:ascii="Arial" w:hAnsi="Arial" w:cs="Arial"/>
                <w:b/>
                <w:bCs/>
                <w:sz w:val="22"/>
                <w:szCs w:val="22"/>
              </w:rPr>
              <w:t>:</w:t>
            </w:r>
            <w:r w:rsidRPr="00296BF0">
              <w:rPr>
                <w:rFonts w:ascii="Arial" w:hAnsi="Arial" w:cs="Arial"/>
                <w:b/>
                <w:bCs/>
                <w:sz w:val="22"/>
                <w:szCs w:val="22"/>
              </w:rPr>
              <w:t xml:space="preserve"> Emerging connection charge and FMD issues</w:t>
            </w:r>
          </w:p>
        </w:tc>
      </w:tr>
      <w:tr w:rsidR="006A6F27" w:rsidRPr="00296BF0" w14:paraId="24A87860" w14:textId="77777777" w:rsidTr="00296BF0">
        <w:tc>
          <w:tcPr>
            <w:tcW w:w="639" w:type="dxa"/>
          </w:tcPr>
          <w:p w14:paraId="7EA5D938" w14:textId="775BC750" w:rsidR="006A6F27" w:rsidRPr="00296BF0" w:rsidRDefault="00A00B2F">
            <w:pPr>
              <w:rPr>
                <w:rFonts w:ascii="Arial" w:hAnsi="Arial" w:cs="Arial"/>
                <w:sz w:val="22"/>
                <w:szCs w:val="22"/>
              </w:rPr>
            </w:pPr>
            <w:r w:rsidRPr="00296BF0">
              <w:rPr>
                <w:rFonts w:ascii="Arial" w:hAnsi="Arial" w:cs="Arial"/>
                <w:sz w:val="22"/>
                <w:szCs w:val="22"/>
              </w:rPr>
              <w:t>3</w:t>
            </w:r>
            <w:r w:rsidR="00F34836" w:rsidRPr="00296BF0">
              <w:rPr>
                <w:rFonts w:ascii="Arial" w:hAnsi="Arial" w:cs="Arial"/>
                <w:sz w:val="22"/>
                <w:szCs w:val="22"/>
              </w:rPr>
              <w:t>0</w:t>
            </w:r>
          </w:p>
        </w:tc>
        <w:tc>
          <w:tcPr>
            <w:tcW w:w="3892" w:type="dxa"/>
          </w:tcPr>
          <w:p w14:paraId="3B8B3A85" w14:textId="6E9A7470" w:rsidR="006A6F27" w:rsidRPr="00296BF0" w:rsidRDefault="00F8533C" w:rsidP="006A6F27">
            <w:pPr>
              <w:rPr>
                <w:rFonts w:ascii="Arial" w:hAnsi="Arial" w:cs="Arial"/>
                <w:sz w:val="22"/>
                <w:szCs w:val="22"/>
              </w:rPr>
            </w:pPr>
            <w:r w:rsidRPr="00296BF0">
              <w:rPr>
                <w:rFonts w:ascii="Arial" w:hAnsi="Arial" w:cs="Arial"/>
                <w:sz w:val="22"/>
                <w:szCs w:val="22"/>
              </w:rPr>
              <w:t>The Authority is not consulting on proposals to address these emerging issues, but do you have any feedback or further information on these emerging issues and how these are being progressed?</w:t>
            </w:r>
          </w:p>
        </w:tc>
        <w:tc>
          <w:tcPr>
            <w:tcW w:w="5103" w:type="dxa"/>
          </w:tcPr>
          <w:p w14:paraId="6750DFD9" w14:textId="77777777" w:rsidR="006A6F27" w:rsidRPr="00296BF0" w:rsidRDefault="006A6F27">
            <w:pPr>
              <w:rPr>
                <w:rFonts w:ascii="Arial" w:hAnsi="Arial" w:cs="Arial"/>
                <w:sz w:val="22"/>
                <w:szCs w:val="22"/>
              </w:rPr>
            </w:pPr>
          </w:p>
        </w:tc>
      </w:tr>
    </w:tbl>
    <w:p w14:paraId="43CC1BD0" w14:textId="1E26D18E" w:rsidR="005664BE" w:rsidRPr="00296BF0" w:rsidRDefault="005664BE" w:rsidP="00E705AD">
      <w:pPr>
        <w:rPr>
          <w:rFonts w:ascii="Arial" w:hAnsi="Arial" w:cs="Arial"/>
          <w:sz w:val="22"/>
          <w:szCs w:val="22"/>
        </w:rPr>
      </w:pPr>
    </w:p>
    <w:sectPr w:rsidR="005664BE" w:rsidRPr="00296BF0" w:rsidSect="00570105">
      <w:headerReference w:type="default" r:id="rId14"/>
      <w:footerReference w:type="even" r:id="rId15"/>
      <w:footerReference w:type="first" r:id="rId16"/>
      <w:pgSz w:w="11906" w:h="16838"/>
      <w:pgMar w:top="1304" w:right="1134" w:bottom="119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5AA1" w14:textId="77777777" w:rsidR="00667A53" w:rsidRDefault="00667A53" w:rsidP="00A00B2F">
      <w:pPr>
        <w:spacing w:after="0" w:line="240" w:lineRule="auto"/>
      </w:pPr>
      <w:r>
        <w:separator/>
      </w:r>
    </w:p>
  </w:endnote>
  <w:endnote w:type="continuationSeparator" w:id="0">
    <w:p w14:paraId="0178AD5C" w14:textId="77777777" w:rsidR="00667A53" w:rsidRDefault="00667A53" w:rsidP="00A0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DBBB" w14:textId="5F0C5388" w:rsidR="00A00B2F" w:rsidRDefault="00A00B2F">
    <w:pPr>
      <w:pStyle w:val="Footer"/>
    </w:pPr>
    <w:r>
      <w:rPr>
        <w:noProof/>
      </w:rPr>
      <mc:AlternateContent>
        <mc:Choice Requires="wps">
          <w:drawing>
            <wp:anchor distT="0" distB="0" distL="0" distR="0" simplePos="0" relativeHeight="251658241" behindDoc="0" locked="0" layoutInCell="1" allowOverlap="1" wp14:anchorId="76ED6637" wp14:editId="0CA8B6CE">
              <wp:simplePos x="635" y="635"/>
              <wp:positionH relativeFrom="page">
                <wp:align>center</wp:align>
              </wp:positionH>
              <wp:positionV relativeFrom="page">
                <wp:align>bottom</wp:align>
              </wp:positionV>
              <wp:extent cx="1875790" cy="370205"/>
              <wp:effectExtent l="0" t="0" r="10160" b="0"/>
              <wp:wrapNone/>
              <wp:docPr id="435879666"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3A4DD973" w14:textId="579BDD94" w:rsidR="00A00B2F" w:rsidRPr="00A00B2F" w:rsidRDefault="00A00B2F" w:rsidP="00A00B2F">
                          <w:pPr>
                            <w:spacing w:after="0"/>
                            <w:rPr>
                              <w:rFonts w:ascii="Aptos" w:eastAsia="Aptos" w:hAnsi="Aptos" w:cs="Aptos"/>
                              <w:noProof/>
                              <w:color w:val="000000"/>
                              <w:sz w:val="20"/>
                              <w:szCs w:val="20"/>
                            </w:rPr>
                          </w:pPr>
                          <w:r w:rsidRPr="00A00B2F">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ED6637" id="_x0000_t202" coordsize="21600,21600" o:spt="202" path="m,l,21600r21600,l21600,xe">
              <v:stroke joinstyle="miter"/>
              <v:path gradientshapeok="t" o:connecttype="rect"/>
            </v:shapetype>
            <v:shape id="Text Box 2" o:spid="_x0000_s1026" type="#_x0000_t202" alt="IN-CONFIDENCE: ORGANISATION" style="position:absolute;margin-left:0;margin-top:0;width:147.7pt;height:29.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" filled="f" stroked="f">
              <v:textbox style="mso-fit-shape-to-text:t" inset="0,0,0,15pt">
                <w:txbxContent>
                  <w:p w14:paraId="3A4DD973" w14:textId="579BDD94" w:rsidR="00A00B2F" w:rsidRPr="00A00B2F" w:rsidRDefault="00A00B2F" w:rsidP="00A00B2F">
                    <w:pPr>
                      <w:spacing w:after="0"/>
                      <w:rPr>
                        <w:rFonts w:ascii="Aptos" w:eastAsia="Aptos" w:hAnsi="Aptos" w:cs="Aptos"/>
                        <w:noProof/>
                        <w:color w:val="000000"/>
                        <w:sz w:val="20"/>
                        <w:szCs w:val="20"/>
                      </w:rPr>
                    </w:pPr>
                    <w:r w:rsidRPr="00A00B2F">
                      <w:rPr>
                        <w:rFonts w:ascii="Aptos" w:eastAsia="Aptos" w:hAnsi="Aptos" w:cs="Aptos"/>
                        <w:noProof/>
                        <w:color w:val="000000"/>
                        <w:sz w:val="20"/>
                        <w:szCs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640E" w14:textId="12093BD5" w:rsidR="00A00B2F" w:rsidRDefault="00A00B2F">
    <w:pPr>
      <w:pStyle w:val="Footer"/>
    </w:pPr>
    <w:r>
      <w:rPr>
        <w:noProof/>
      </w:rPr>
      <mc:AlternateContent>
        <mc:Choice Requires="wps">
          <w:drawing>
            <wp:anchor distT="0" distB="0" distL="0" distR="0" simplePos="0" relativeHeight="251658240" behindDoc="0" locked="0" layoutInCell="1" allowOverlap="1" wp14:anchorId="07490EC2" wp14:editId="5C72B579">
              <wp:simplePos x="635" y="635"/>
              <wp:positionH relativeFrom="page">
                <wp:align>center</wp:align>
              </wp:positionH>
              <wp:positionV relativeFrom="page">
                <wp:align>bottom</wp:align>
              </wp:positionV>
              <wp:extent cx="1875790" cy="370205"/>
              <wp:effectExtent l="0" t="0" r="10160" b="0"/>
              <wp:wrapNone/>
              <wp:docPr id="1035754129"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5790" cy="370205"/>
                      </a:xfrm>
                      <a:prstGeom prst="rect">
                        <a:avLst/>
                      </a:prstGeom>
                      <a:noFill/>
                      <a:ln>
                        <a:noFill/>
                      </a:ln>
                    </wps:spPr>
                    <wps:txbx>
                      <w:txbxContent>
                        <w:p w14:paraId="64825B4F" w14:textId="77F5D3EA" w:rsidR="00A00B2F" w:rsidRPr="00A00B2F" w:rsidRDefault="00A00B2F" w:rsidP="00A00B2F">
                          <w:pPr>
                            <w:spacing w:after="0"/>
                            <w:rPr>
                              <w:rFonts w:ascii="Aptos" w:eastAsia="Aptos" w:hAnsi="Aptos" w:cs="Aptos"/>
                              <w:noProof/>
                              <w:color w:val="000000"/>
                              <w:sz w:val="20"/>
                              <w:szCs w:val="20"/>
                            </w:rPr>
                          </w:pPr>
                          <w:r w:rsidRPr="00A00B2F">
                            <w:rPr>
                              <w:rFonts w:ascii="Aptos" w:eastAsia="Aptos" w:hAnsi="Aptos" w:cs="Aptos"/>
                              <w:noProof/>
                              <w:color w:val="000000"/>
                              <w:sz w:val="20"/>
                              <w:szCs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490EC2" id="_x0000_t202" coordsize="21600,21600" o:spt="202" path="m,l,21600r21600,l21600,xe">
              <v:stroke joinstyle="miter"/>
              <v:path gradientshapeok="t" o:connecttype="rect"/>
            </v:shapetype>
            <v:shape id="Text Box 1" o:spid="_x0000_s1027" type="#_x0000_t202" alt="IN-CONFIDENCE: ORGANISATION" style="position:absolute;margin-left:0;margin-top:0;width:147.7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" filled="f" stroked="f">
              <v:textbox style="mso-fit-shape-to-text:t" inset="0,0,0,15pt">
                <w:txbxContent>
                  <w:p w14:paraId="64825B4F" w14:textId="77F5D3EA" w:rsidR="00A00B2F" w:rsidRPr="00A00B2F" w:rsidRDefault="00A00B2F" w:rsidP="00A00B2F">
                    <w:pPr>
                      <w:spacing w:after="0"/>
                      <w:rPr>
                        <w:rFonts w:ascii="Aptos" w:eastAsia="Aptos" w:hAnsi="Aptos" w:cs="Aptos"/>
                        <w:noProof/>
                        <w:color w:val="000000"/>
                        <w:sz w:val="20"/>
                        <w:szCs w:val="20"/>
                      </w:rPr>
                    </w:pPr>
                    <w:r w:rsidRPr="00A00B2F">
                      <w:rPr>
                        <w:rFonts w:ascii="Aptos" w:eastAsia="Aptos" w:hAnsi="Aptos" w:cs="Aptos"/>
                        <w:noProof/>
                        <w:color w:val="000000"/>
                        <w:sz w:val="20"/>
                        <w:szCs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08A1" w14:textId="77777777" w:rsidR="00667A53" w:rsidRDefault="00667A53" w:rsidP="00A00B2F">
      <w:pPr>
        <w:spacing w:after="0" w:line="240" w:lineRule="auto"/>
      </w:pPr>
      <w:r>
        <w:separator/>
      </w:r>
    </w:p>
  </w:footnote>
  <w:footnote w:type="continuationSeparator" w:id="0">
    <w:p w14:paraId="0F2E1EA4" w14:textId="77777777" w:rsidR="00667A53" w:rsidRDefault="00667A53" w:rsidP="00A00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42C6B" w14:textId="69582A85" w:rsidR="00AE431E" w:rsidRDefault="00AE431E">
    <w:pPr>
      <w:pStyle w:val="Header"/>
    </w:pPr>
    <w:r>
      <w:rPr>
        <w:noProof/>
      </w:rPr>
      <w:drawing>
        <wp:anchor distT="0" distB="0" distL="114300" distR="114300" simplePos="0" relativeHeight="251658242" behindDoc="1" locked="0" layoutInCell="1" allowOverlap="1" wp14:anchorId="766417A4" wp14:editId="3F4DCF90">
          <wp:simplePos x="0" y="0"/>
          <wp:positionH relativeFrom="margin">
            <wp:posOffset>4724400</wp:posOffset>
          </wp:positionH>
          <wp:positionV relativeFrom="paragraph">
            <wp:posOffset>-334010</wp:posOffset>
          </wp:positionV>
          <wp:extent cx="1548130" cy="743585"/>
          <wp:effectExtent l="0" t="0" r="0" b="0"/>
          <wp:wrapThrough wrapText="bothSides">
            <wp:wrapPolygon edited="0">
              <wp:start x="14353" y="3874"/>
              <wp:lineTo x="3189" y="4980"/>
              <wp:lineTo x="2126" y="5534"/>
              <wp:lineTo x="2126" y="16601"/>
              <wp:lineTo x="17542" y="16601"/>
              <wp:lineTo x="18871" y="15494"/>
              <wp:lineTo x="19403" y="13834"/>
              <wp:lineTo x="19137" y="4980"/>
              <wp:lineTo x="17542" y="3874"/>
              <wp:lineTo x="14353" y="3874"/>
            </wp:wrapPolygon>
          </wp:wrapThrough>
          <wp:docPr id="370135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33C7"/>
    <w:multiLevelType w:val="multilevel"/>
    <w:tmpl w:val="22F691A0"/>
    <w:lvl w:ilvl="0">
      <w:start w:val="1"/>
      <w:numFmt w:val="upperLetter"/>
      <w:pStyle w:val="Appendix1"/>
      <w:lvlText w:val="Appendix %1"/>
      <w:lvlJc w:val="left"/>
      <w:pPr>
        <w:tabs>
          <w:tab w:val="num" w:pos="851"/>
        </w:tabs>
        <w:ind w:left="851" w:hanging="851"/>
      </w:pPr>
      <w:rPr>
        <w:rFonts w:ascii="Arial Bold" w:hAnsi="Arial Bold" w:hint="default"/>
        <w:b/>
        <w:i w:val="0"/>
        <w:color w:val="002B49"/>
        <w:sz w:val="32"/>
      </w:rPr>
    </w:lvl>
    <w:lvl w:ilvl="1">
      <w:start w:val="1"/>
      <w:numFmt w:val="none"/>
      <w:pStyle w:val="Appendix2"/>
      <w:lvlText w:val=""/>
      <w:lvlJc w:val="left"/>
      <w:pPr>
        <w:tabs>
          <w:tab w:val="num" w:pos="1021"/>
        </w:tabs>
        <w:ind w:left="567" w:hanging="567"/>
      </w:pPr>
      <w:rPr>
        <w:rFonts w:hint="default"/>
      </w:rPr>
    </w:lvl>
    <w:lvl w:ilvl="2">
      <w:start w:val="1"/>
      <w:numFmt w:val="decimal"/>
      <w:pStyle w:val="AppendixNumbered"/>
      <w:lvlText w:val="%1.%2%3"/>
      <w:lvlJc w:val="left"/>
      <w:pPr>
        <w:tabs>
          <w:tab w:val="num" w:pos="992"/>
        </w:tabs>
        <w:ind w:left="567" w:hanging="567"/>
      </w:pPr>
      <w:rPr>
        <w:rFonts w:hint="default"/>
      </w:rPr>
    </w:lvl>
    <w:lvl w:ilvl="3">
      <w:start w:val="1"/>
      <w:numFmt w:val="lowerLetter"/>
      <w:pStyle w:val="AppendixNumbered-Level2"/>
      <w:lvlText w:val="(%4)"/>
      <w:lvlJc w:val="left"/>
      <w:pPr>
        <w:ind w:left="1021" w:hanging="426"/>
      </w:pPr>
      <w:rPr>
        <w:rFonts w:hint="default"/>
      </w:rPr>
    </w:lvl>
    <w:lvl w:ilvl="4">
      <w:start w:val="1"/>
      <w:numFmt w:val="lowerRoman"/>
      <w:lvlText w:val="(%5)"/>
      <w:lvlJc w:val="left"/>
      <w:pPr>
        <w:ind w:left="1474" w:hanging="425"/>
      </w:pPr>
      <w:rPr>
        <w:rFonts w:hint="default"/>
      </w:rPr>
    </w:lvl>
    <w:lvl w:ilvl="5">
      <w:start w:val="1"/>
      <w:numFmt w:val="bullet"/>
      <w:lvlText w:val=""/>
      <w:lvlJc w:val="left"/>
      <w:pPr>
        <w:tabs>
          <w:tab w:val="num" w:pos="1503"/>
        </w:tabs>
        <w:ind w:left="1928" w:hanging="425"/>
      </w:pPr>
      <w:rPr>
        <w:rFonts w:ascii="Symbol" w:hAnsi="Symbol" w:hint="default"/>
      </w:rPr>
    </w:lvl>
    <w:lvl w:ilvl="6">
      <w:start w:val="1"/>
      <w:numFmt w:val="bullet"/>
      <w:lvlText w:val=""/>
      <w:lvlJc w:val="left"/>
      <w:pPr>
        <w:tabs>
          <w:tab w:val="num" w:pos="1956"/>
        </w:tabs>
        <w:ind w:left="2381" w:hanging="425"/>
      </w:pPr>
      <w:rPr>
        <w:rFonts w:ascii="Symbol" w:hAnsi="Symbol" w:hint="default"/>
      </w:rPr>
    </w:lvl>
    <w:lvl w:ilvl="7">
      <w:start w:val="1"/>
      <w:numFmt w:val="none"/>
      <w:lvlText w:val=""/>
      <w:lvlJc w:val="left"/>
      <w:pPr>
        <w:tabs>
          <w:tab w:val="num" w:pos="13721"/>
        </w:tabs>
        <w:ind w:left="2381" w:firstLine="0"/>
      </w:pPr>
      <w:rPr>
        <w:rFonts w:hint="default"/>
      </w:rPr>
    </w:lvl>
    <w:lvl w:ilvl="8">
      <w:start w:val="1"/>
      <w:numFmt w:val="none"/>
      <w:lvlText w:val=""/>
      <w:lvlJc w:val="right"/>
      <w:pPr>
        <w:tabs>
          <w:tab w:val="num" w:pos="2381"/>
        </w:tabs>
        <w:ind w:left="2381" w:firstLine="0"/>
      </w:pPr>
      <w:rPr>
        <w:rFonts w:hint="default"/>
      </w:rPr>
    </w:lvl>
  </w:abstractNum>
  <w:abstractNum w:abstractNumId="1" w15:restartNumberingAfterBreak="0">
    <w:nsid w:val="55A42DEC"/>
    <w:multiLevelType w:val="hybridMultilevel"/>
    <w:tmpl w:val="E8E8A8B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366055476">
    <w:abstractNumId w:val="1"/>
  </w:num>
  <w:num w:numId="2" w16cid:durableId="190992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BE"/>
    <w:rsid w:val="00040325"/>
    <w:rsid w:val="00047836"/>
    <w:rsid w:val="000A1088"/>
    <w:rsid w:val="000A562C"/>
    <w:rsid w:val="00105CCE"/>
    <w:rsid w:val="001D5A8F"/>
    <w:rsid w:val="001D6ADF"/>
    <w:rsid w:val="00203B7A"/>
    <w:rsid w:val="00210D49"/>
    <w:rsid w:val="0021277A"/>
    <w:rsid w:val="00213DAC"/>
    <w:rsid w:val="00260FF8"/>
    <w:rsid w:val="00296BF0"/>
    <w:rsid w:val="002C30DF"/>
    <w:rsid w:val="002E7F79"/>
    <w:rsid w:val="002F356C"/>
    <w:rsid w:val="00346E3D"/>
    <w:rsid w:val="003D6EAC"/>
    <w:rsid w:val="004060BF"/>
    <w:rsid w:val="0041207D"/>
    <w:rsid w:val="00412D5C"/>
    <w:rsid w:val="004166B9"/>
    <w:rsid w:val="00437D91"/>
    <w:rsid w:val="00440EF5"/>
    <w:rsid w:val="00477F18"/>
    <w:rsid w:val="004F1009"/>
    <w:rsid w:val="00501F53"/>
    <w:rsid w:val="00522A58"/>
    <w:rsid w:val="0055561B"/>
    <w:rsid w:val="005664BE"/>
    <w:rsid w:val="00570105"/>
    <w:rsid w:val="00574967"/>
    <w:rsid w:val="00587DFA"/>
    <w:rsid w:val="005E3B01"/>
    <w:rsid w:val="005F146E"/>
    <w:rsid w:val="0066133C"/>
    <w:rsid w:val="00664F32"/>
    <w:rsid w:val="00667A53"/>
    <w:rsid w:val="006A6F27"/>
    <w:rsid w:val="006C59F2"/>
    <w:rsid w:val="006D17D2"/>
    <w:rsid w:val="006D2B58"/>
    <w:rsid w:val="006F7153"/>
    <w:rsid w:val="0071379A"/>
    <w:rsid w:val="007140DC"/>
    <w:rsid w:val="00716403"/>
    <w:rsid w:val="007E640F"/>
    <w:rsid w:val="00826DFF"/>
    <w:rsid w:val="00846C0C"/>
    <w:rsid w:val="00882C02"/>
    <w:rsid w:val="008B0676"/>
    <w:rsid w:val="008B667D"/>
    <w:rsid w:val="00931D55"/>
    <w:rsid w:val="00947059"/>
    <w:rsid w:val="00955A7F"/>
    <w:rsid w:val="009A79C7"/>
    <w:rsid w:val="009B1128"/>
    <w:rsid w:val="009B7B5B"/>
    <w:rsid w:val="009D7CC9"/>
    <w:rsid w:val="00A00B2F"/>
    <w:rsid w:val="00A149A2"/>
    <w:rsid w:val="00A37C42"/>
    <w:rsid w:val="00A63D14"/>
    <w:rsid w:val="00A92442"/>
    <w:rsid w:val="00AB61CF"/>
    <w:rsid w:val="00AD25C9"/>
    <w:rsid w:val="00AE15CD"/>
    <w:rsid w:val="00AE431E"/>
    <w:rsid w:val="00B129EA"/>
    <w:rsid w:val="00BD0F03"/>
    <w:rsid w:val="00C23684"/>
    <w:rsid w:val="00C31BF3"/>
    <w:rsid w:val="00C423E2"/>
    <w:rsid w:val="00C51675"/>
    <w:rsid w:val="00C529C2"/>
    <w:rsid w:val="00C66B01"/>
    <w:rsid w:val="00C7775A"/>
    <w:rsid w:val="00C86B91"/>
    <w:rsid w:val="00CC0BDA"/>
    <w:rsid w:val="00CC4D05"/>
    <w:rsid w:val="00CC5CFB"/>
    <w:rsid w:val="00D1434A"/>
    <w:rsid w:val="00D47EA5"/>
    <w:rsid w:val="00D711E5"/>
    <w:rsid w:val="00DB1075"/>
    <w:rsid w:val="00E30696"/>
    <w:rsid w:val="00E55F55"/>
    <w:rsid w:val="00E705AD"/>
    <w:rsid w:val="00E922C7"/>
    <w:rsid w:val="00EA7820"/>
    <w:rsid w:val="00ED5F65"/>
    <w:rsid w:val="00F022B2"/>
    <w:rsid w:val="00F34836"/>
    <w:rsid w:val="00F74BED"/>
    <w:rsid w:val="00F822D0"/>
    <w:rsid w:val="00F8533C"/>
    <w:rsid w:val="00F92FFE"/>
    <w:rsid w:val="00FB2368"/>
    <w:rsid w:val="00FE33C0"/>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E35E3"/>
  <w15:chartTrackingRefBased/>
  <w15:docId w15:val="{9D204119-7A00-4CF3-9865-1CF392B7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NZ"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4BE"/>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5664BE"/>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5664BE"/>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566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4BE"/>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5664BE"/>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5664BE"/>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566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4BE"/>
    <w:rPr>
      <w:rFonts w:eastAsiaTheme="majorEastAsia" w:cstheme="majorBidi"/>
      <w:color w:val="272727" w:themeColor="text1" w:themeTint="D8"/>
    </w:rPr>
  </w:style>
  <w:style w:type="paragraph" w:styleId="Title">
    <w:name w:val="Title"/>
    <w:basedOn w:val="Normal"/>
    <w:next w:val="Normal"/>
    <w:link w:val="TitleChar"/>
    <w:uiPriority w:val="10"/>
    <w:qFormat/>
    <w:rsid w:val="005664B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664B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664B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664B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664BE"/>
    <w:pPr>
      <w:spacing w:before="160"/>
      <w:jc w:val="center"/>
    </w:pPr>
    <w:rPr>
      <w:i/>
      <w:iCs/>
      <w:color w:val="404040" w:themeColor="text1" w:themeTint="BF"/>
    </w:rPr>
  </w:style>
  <w:style w:type="character" w:customStyle="1" w:styleId="QuoteChar">
    <w:name w:val="Quote Char"/>
    <w:basedOn w:val="DefaultParagraphFont"/>
    <w:link w:val="Quote"/>
    <w:uiPriority w:val="29"/>
    <w:rsid w:val="005664BE"/>
    <w:rPr>
      <w:i/>
      <w:iCs/>
      <w:color w:val="404040" w:themeColor="text1" w:themeTint="BF"/>
    </w:rPr>
  </w:style>
  <w:style w:type="paragraph" w:styleId="ListParagraph">
    <w:name w:val="List Paragraph"/>
    <w:basedOn w:val="Normal"/>
    <w:uiPriority w:val="34"/>
    <w:qFormat/>
    <w:rsid w:val="005664BE"/>
    <w:pPr>
      <w:ind w:left="720"/>
      <w:contextualSpacing/>
    </w:pPr>
  </w:style>
  <w:style w:type="character" w:styleId="IntenseEmphasis">
    <w:name w:val="Intense Emphasis"/>
    <w:basedOn w:val="DefaultParagraphFont"/>
    <w:uiPriority w:val="21"/>
    <w:qFormat/>
    <w:rsid w:val="005664BE"/>
    <w:rPr>
      <w:i/>
      <w:iCs/>
      <w:color w:val="0F4761" w:themeColor="accent1" w:themeShade="BF"/>
    </w:rPr>
  </w:style>
  <w:style w:type="paragraph" w:styleId="IntenseQuote">
    <w:name w:val="Intense Quote"/>
    <w:basedOn w:val="Normal"/>
    <w:next w:val="Normal"/>
    <w:link w:val="IntenseQuoteChar"/>
    <w:uiPriority w:val="30"/>
    <w:qFormat/>
    <w:rsid w:val="00566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4BE"/>
    <w:rPr>
      <w:i/>
      <w:iCs/>
      <w:color w:val="0F4761" w:themeColor="accent1" w:themeShade="BF"/>
    </w:rPr>
  </w:style>
  <w:style w:type="character" w:styleId="IntenseReference">
    <w:name w:val="Intense Reference"/>
    <w:basedOn w:val="DefaultParagraphFont"/>
    <w:uiPriority w:val="32"/>
    <w:qFormat/>
    <w:rsid w:val="005664BE"/>
    <w:rPr>
      <w:b/>
      <w:bCs/>
      <w:smallCaps/>
      <w:color w:val="0F4761" w:themeColor="accent1" w:themeShade="BF"/>
      <w:spacing w:val="5"/>
    </w:rPr>
  </w:style>
  <w:style w:type="table" w:styleId="TableGrid">
    <w:name w:val="Table Grid"/>
    <w:basedOn w:val="TableNormal"/>
    <w:uiPriority w:val="39"/>
    <w:rsid w:val="00566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0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B2F"/>
  </w:style>
  <w:style w:type="paragraph" w:customStyle="1" w:styleId="Appendix1">
    <w:name w:val="Appendix 1"/>
    <w:basedOn w:val="Heading1"/>
    <w:next w:val="Appendix2"/>
    <w:uiPriority w:val="10"/>
    <w:qFormat/>
    <w:rsid w:val="003D6EAC"/>
    <w:pPr>
      <w:pageBreakBefore/>
      <w:numPr>
        <w:numId w:val="2"/>
      </w:numPr>
      <w:tabs>
        <w:tab w:val="left" w:pos="567"/>
      </w:tabs>
      <w:spacing w:before="0" w:after="120" w:line="269" w:lineRule="auto"/>
      <w:contextualSpacing/>
    </w:pPr>
    <w:rPr>
      <w:b/>
      <w:color w:val="002B49"/>
      <w:kern w:val="0"/>
      <w:sz w:val="32"/>
      <w:szCs w:val="40"/>
      <w:lang w:bidi="ar-SA"/>
      <w14:ligatures w14:val="none"/>
    </w:rPr>
  </w:style>
  <w:style w:type="paragraph" w:customStyle="1" w:styleId="Appendix2">
    <w:name w:val="Appendix 2"/>
    <w:basedOn w:val="Heading2"/>
    <w:next w:val="AppendixNumbered"/>
    <w:uiPriority w:val="10"/>
    <w:qFormat/>
    <w:rsid w:val="003D6EAC"/>
    <w:pPr>
      <w:numPr>
        <w:ilvl w:val="1"/>
        <w:numId w:val="2"/>
      </w:numPr>
      <w:spacing w:before="180" w:after="120" w:line="269" w:lineRule="auto"/>
      <w:contextualSpacing/>
    </w:pPr>
    <w:rPr>
      <w:b/>
      <w:color w:val="4EA72E" w:themeColor="accent6"/>
      <w:kern w:val="0"/>
      <w:sz w:val="28"/>
      <w:szCs w:val="32"/>
      <w:lang w:bidi="ar-SA"/>
      <w14:ligatures w14:val="none"/>
    </w:rPr>
  </w:style>
  <w:style w:type="paragraph" w:customStyle="1" w:styleId="AppendixNumbered">
    <w:name w:val="Appendix Numbered"/>
    <w:basedOn w:val="Normal"/>
    <w:uiPriority w:val="10"/>
    <w:qFormat/>
    <w:rsid w:val="003D6EAC"/>
    <w:pPr>
      <w:numPr>
        <w:ilvl w:val="2"/>
        <w:numId w:val="2"/>
      </w:numPr>
      <w:spacing w:after="120" w:line="269" w:lineRule="auto"/>
    </w:pPr>
    <w:rPr>
      <w:rFonts w:cstheme="majorBidi"/>
      <w:color w:val="000000" w:themeColor="text1"/>
      <w:kern w:val="0"/>
      <w:sz w:val="22"/>
      <w:szCs w:val="22"/>
      <w:lang w:bidi="ar-SA"/>
      <w14:ligatures w14:val="none"/>
    </w:rPr>
  </w:style>
  <w:style w:type="paragraph" w:customStyle="1" w:styleId="AppendixNumbered-Level2">
    <w:name w:val="Appendix Numbered - Level 2"/>
    <w:basedOn w:val="Normal"/>
    <w:uiPriority w:val="10"/>
    <w:unhideWhenUsed/>
    <w:qFormat/>
    <w:rsid w:val="003D6EAC"/>
    <w:pPr>
      <w:numPr>
        <w:ilvl w:val="3"/>
        <w:numId w:val="2"/>
      </w:numPr>
      <w:spacing w:after="120" w:line="269" w:lineRule="auto"/>
    </w:pPr>
    <w:rPr>
      <w:rFonts w:cstheme="majorBidi"/>
      <w:color w:val="000000" w:themeColor="text1"/>
      <w:kern w:val="0"/>
      <w:sz w:val="22"/>
      <w:szCs w:val="22"/>
      <w:lang w:bidi="ar-SA"/>
      <w14:ligatures w14:val="none"/>
    </w:rPr>
  </w:style>
  <w:style w:type="paragraph" w:styleId="Header">
    <w:name w:val="header"/>
    <w:basedOn w:val="Normal"/>
    <w:link w:val="HeaderChar"/>
    <w:uiPriority w:val="99"/>
    <w:unhideWhenUsed/>
    <w:rsid w:val="00477F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F18"/>
  </w:style>
  <w:style w:type="character" w:styleId="Hyperlink">
    <w:name w:val="Hyperlink"/>
    <w:basedOn w:val="DefaultParagraphFont"/>
    <w:uiPriority w:val="99"/>
    <w:unhideWhenUsed/>
    <w:rsid w:val="0066133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networkpricing@ea.govt.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1b479d-2f4c-4731-ac2b-718bffb3d6e1" ContentTypeId="0x0101006BADA0C681F96B49B638146E78350918" PreviousValue="false"/>
</file>

<file path=customXml/item2.xml><?xml version="1.0" encoding="utf-8"?>
<ct:contentTypeSchema xmlns:ct="http://schemas.microsoft.com/office/2006/metadata/contentType" xmlns:ma="http://schemas.microsoft.com/office/2006/metadata/properties/metaAttributes" ct:_="" ma:_="" ma:contentTypeName="EA Document" ma:contentTypeID="0x0101006BADA0C681F96B49B638146E7835091800FB6CC15EF961BC4FB89861FDABBD57C2" ma:contentTypeVersion="30" ma:contentTypeDescription="" ma:contentTypeScope="" ma:versionID="c569e4991e27f093042c9892d43e36ac">
  <xsd:schema xmlns:xsd="http://www.w3.org/2001/XMLSchema" xmlns:xs="http://www.w3.org/2001/XMLSchema" xmlns:p="http://schemas.microsoft.com/office/2006/metadata/properties" xmlns:ns2="9a348ff4-37a4-4c9d-a731-0759d01652e4" xmlns:ns3="e2dd8ff6-d578-4dd5-bbdd-8a625a99dec7" xmlns:ns4="e1348f41-6aff-4bc5-b255-1b045fa33c46" targetNamespace="http://schemas.microsoft.com/office/2006/metadata/properties" ma:root="true" ma:fieldsID="9005a3b10d0cb2e3546e955f52ca15d2" ns2:_="" ns3:_="" ns4:_="">
    <xsd:import namespace="9a348ff4-37a4-4c9d-a731-0759d01652e4"/>
    <xsd:import namespace="e2dd8ff6-d578-4dd5-bbdd-8a625a99dec7"/>
    <xsd:import namespace="e1348f41-6aff-4bc5-b255-1b045fa33c46"/>
    <xsd:element name="properties">
      <xsd:complexType>
        <xsd:sequence>
          <xsd:element name="documentManagement">
            <xsd:complexType>
              <xsd:all>
                <xsd:element ref="ns3:MigratedFileID" minOccurs="0"/>
                <xsd:element ref="ns3:MigratedDocNum" minOccurs="0"/>
                <xsd:element ref="ns2:h1736067b4e84050a5044872bc775d0c" minOccurs="0"/>
                <xsd:element ref="ns2:TaxCatchAll" minOccurs="0"/>
                <xsd:element ref="ns3:TaxCatchAllLabel" minOccurs="0"/>
                <xsd:element ref="ns2:o5bf2cb19629447f9a2359cc65ce1ab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48ff4-37a4-4c9d-a731-0759d01652e4" elementFormDefault="qualified">
    <xsd:import namespace="http://schemas.microsoft.com/office/2006/documentManagement/types"/>
    <xsd:import namespace="http://schemas.microsoft.com/office/infopath/2007/PartnerControls"/>
    <xsd:element name="h1736067b4e84050a5044872bc775d0c" ma:index="8" nillable="true" ma:taxonomy="true" ma:internalName="h1736067b4e84050a5044872bc775d0c" ma:taxonomyFieldName="EAActivity" ma:displayName="Activity" ma:indexed="true" ma:default="10;#Future Security and Resilience|102b5908-b196-4c17-ae29-13c364ea0dfe" ma:fieldId="{11736067-b4e8-4050-a504-4872bc775d0c}" ma:sspId="fc1b479d-2f4c-4731-ac2b-718bffb3d6e1" ma:termSetId="43bfb9e8-4c58-460a-98dc-99780ffc6337"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de5379f3-859f-471c-8b1c-14a0802e7e37}" ma:internalName="TaxCatchAll" ma:showField="CatchAllData" ma:web="e1348f41-6aff-4bc5-b255-1b045fa33c46">
      <xsd:complexType>
        <xsd:complexContent>
          <xsd:extension base="dms:MultiChoiceLookup">
            <xsd:sequence>
              <xsd:element name="Value" type="dms:Lookup" maxOccurs="unbounded" minOccurs="0" nillable="true"/>
            </xsd:sequence>
          </xsd:extension>
        </xsd:complexContent>
      </xsd:complexType>
    </xsd:element>
    <xsd:element name="o5bf2cb19629447f9a2359cc65ce1ab0" ma:index="14" nillable="true" ma:taxonomy="true" ma:internalName="o5bf2cb19629447f9a2359cc65ce1ab0" ma:taxonomyFieldName="EACode" ma:displayName="Code" ma:indexed="true" ma:default="8;#Projects|9934e0e0-cf4d-4657-9294-7be4234b1d3d" ma:fieldId="{85bf2cb1-9629-447f-9a23-59cc65ce1ab0}" ma:sspId="fc1b479d-2f4c-4731-ac2b-718bffb3d6e1" ma:termSetId="2cc69e05-bc7b-4240-98a2-9f04b70ee4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dd8ff6-d578-4dd5-bbdd-8a625a99dec7" elementFormDefault="qualified">
    <xsd:import namespace="http://schemas.microsoft.com/office/2006/documentManagement/types"/>
    <xsd:import namespace="http://schemas.microsoft.com/office/infopath/2007/PartnerControls"/>
    <xsd:element name="MigratedFileID" ma:index="4" nillable="true" ma:displayName="iM File ID" ma:indexed="true" ma:internalName="MigratedFileID">
      <xsd:simpleType>
        <xsd:restriction base="dms:Text">
          <xsd:maxLength value="15"/>
        </xsd:restriction>
      </xsd:simpleType>
    </xsd:element>
    <xsd:element name="MigratedDocNum" ma:index="5" nillable="true" ma:displayName="iM Document Number" ma:decimals="1" ma:description="The document number of this document as migrated from iManage" ma:indexed="true" ma:internalName="MigratedDocNum" ma:percentage="FALSE">
      <xsd:simpleType>
        <xsd:restriction base="dms:Number"/>
      </xsd:simpleType>
    </xsd:element>
    <xsd:element name="TaxCatchAllLabel" ma:index="10" nillable="true" ma:displayName="Taxonomy Catch All Column1" ma:hidden="true" ma:list="{de5379f3-859f-471c-8b1c-14a0802e7e37}"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348f41-6aff-4bc5-b255-1b045fa33c46"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igratedFileID xmlns="e2dd8ff6-d578-4dd5-bbdd-8a625a99dec7" xsi:nil="true"/>
    <MigratedDocNum xmlns="e2dd8ff6-d578-4dd5-bbdd-8a625a99dec7" xsi:nil="true"/>
    <h1736067b4e84050a5044872bc775d0c xmlns="9a348ff4-37a4-4c9d-a731-0759d01652e4">
      <Terms xmlns="http://schemas.microsoft.com/office/infopath/2007/PartnerControls">
        <TermInfo xmlns="http://schemas.microsoft.com/office/infopath/2007/PartnerControls">
          <TermName xmlns="http://schemas.microsoft.com/office/infopath/2007/PartnerControls">Future Security and Resilience</TermName>
          <TermId xmlns="http://schemas.microsoft.com/office/infopath/2007/PartnerControls">102b5908-b196-4c17-ae29-13c364ea0dfe</TermId>
        </TermInfo>
      </Terms>
    </h1736067b4e84050a5044872bc775d0c>
    <TaxCatchAll xmlns="9a348ff4-37a4-4c9d-a731-0759d01652e4"/>
    <o5bf2cb19629447f9a2359cc65ce1ab0 xmlns="9a348ff4-37a4-4c9d-a731-0759d01652e4">
      <Terms xmlns="http://schemas.microsoft.com/office/infopath/2007/PartnerControls">
        <TermInfo xmlns="http://schemas.microsoft.com/office/infopath/2007/PartnerControls">
          <TermName xmlns="http://schemas.microsoft.com/office/infopath/2007/PartnerControls">Projects</TermName>
          <TermId xmlns="http://schemas.microsoft.com/office/infopath/2007/PartnerControls">9934e0e0-cf4d-4657-9294-7be4234b1d3d</TermId>
        </TermInfo>
      </Terms>
    </o5bf2cb19629447f9a2359cc65ce1ab0>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71BC63-8809-4F5A-ADA0-3B8925B4744C}">
  <ds:schemaRefs>
    <ds:schemaRef ds:uri="Microsoft.SharePoint.Taxonomy.ContentTypeSync"/>
  </ds:schemaRefs>
</ds:datastoreItem>
</file>

<file path=customXml/itemProps2.xml><?xml version="1.0" encoding="utf-8"?>
<ds:datastoreItem xmlns:ds="http://schemas.openxmlformats.org/officeDocument/2006/customXml" ds:itemID="{E6919F87-91EB-4C90-BC88-25635CCE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48ff4-37a4-4c9d-a731-0759d01652e4"/>
    <ds:schemaRef ds:uri="e2dd8ff6-d578-4dd5-bbdd-8a625a99dec7"/>
    <ds:schemaRef ds:uri="e1348f41-6aff-4bc5-b255-1b045fa33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48EF1-932A-427E-9D76-27B1FFFF900B}">
  <ds:schemaRefs>
    <ds:schemaRef ds:uri="http://schemas.openxmlformats.org/officeDocument/2006/bibliography"/>
  </ds:schemaRefs>
</ds:datastoreItem>
</file>

<file path=customXml/itemProps4.xml><?xml version="1.0" encoding="utf-8"?>
<ds:datastoreItem xmlns:ds="http://schemas.openxmlformats.org/officeDocument/2006/customXml" ds:itemID="{CEE4D90E-0EC5-42F3-B1DA-3A2D928365A3}">
  <ds:schemaRefs>
    <ds:schemaRef ds:uri="http://schemas.microsoft.com/office/2006/metadata/properties"/>
    <ds:schemaRef ds:uri="http://schemas.microsoft.com/office/infopath/2007/PartnerControls"/>
    <ds:schemaRef ds:uri="e2dd8ff6-d578-4dd5-bbdd-8a625a99dec7"/>
    <ds:schemaRef ds:uri="9a348ff4-37a4-4c9d-a731-0759d01652e4"/>
  </ds:schemaRefs>
</ds:datastoreItem>
</file>

<file path=customXml/itemProps5.xml><?xml version="1.0" encoding="utf-8"?>
<ds:datastoreItem xmlns:ds="http://schemas.openxmlformats.org/officeDocument/2006/customXml" ds:itemID="{EB5157CA-D781-4187-94A1-507BE3F86714}">
  <ds:schemaRefs>
    <ds:schemaRef ds:uri="http://schemas.microsoft.com/sharepoint/v3/contenttype/forms"/>
  </ds:schemaRefs>
</ds:datastoreItem>
</file>

<file path=customXml/itemProps6.xml><?xml version="1.0" encoding="utf-8"?>
<ds:datastoreItem xmlns:ds="http://schemas.openxmlformats.org/officeDocument/2006/customXml" ds:itemID="{7D1CC5E4-C8CF-4E93-B339-EF968B25FA5C}">
  <ds:schemaRefs>
    <ds:schemaRef ds:uri="http://schemas.microsoft.com/sharepoint/events"/>
  </ds:schemaRefs>
</ds:datastoreItem>
</file>

<file path=docMetadata/LabelInfo.xml><?xml version="1.0" encoding="utf-8"?>
<clbl:labelList xmlns:clbl="http://schemas.microsoft.com/office/2020/mipLabelMetadata">
  <clbl:label id="{729a19d4-3005-49f1-9d8c-8924f528f29b}" enabled="1" method="Standard" siteId="{01ce6efc-7935-414f-b831-2b1d356f92e4}"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4548</Characters>
  <Application>Microsoft Office Word</Application>
  <DocSecurity>0</DocSecurity>
  <Lines>206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Murphy</dc:creator>
  <cp:keywords/>
  <dc:description/>
  <cp:lastModifiedBy>Louise Pearson</cp:lastModifiedBy>
  <cp:revision>2</cp:revision>
  <dcterms:created xsi:type="dcterms:W3CDTF">2026-06-28T21:30:00Z</dcterms:created>
  <dcterms:modified xsi:type="dcterms:W3CDTF">2026-06-28T21:30:00Z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0x0101006BADA0C681F96B49B638146E7835091800FB6CC15EF961BC4FB89861FDABBD57C2</vt:lpwstr>
  </property>
  <property fmtid="{D5CDD505-2E9C-101B-9397-08002B2CF9AE}" pid="3" name="ClassificationContentMarkingFooterShapeIds">
    <vt:lpwstr>3dbc5a91,19fafef2,50b226a5</vt:lpwstr>
  </property>
  <property fmtid="{D5CDD505-2E9C-101B-9397-08002B2CF9AE}" pid="4" name="ClassificationContentMarkingFooterFontProps">
    <vt:lpwstr>#000000,10,Aptos</vt:lpwstr>
  </property>
  <property fmtid="{D5CDD505-2E9C-101B-9397-08002B2CF9AE}" pid="5" name="ClassificationContentMarkingFooterText">
    <vt:lpwstr>IN-CONFIDENCE: ORGANISATION</vt:lpwstr>
  </property>
</Properties>
</file>