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F69F9" w14:textId="3DB3BEB3" w:rsidR="00F673FA" w:rsidRPr="00F673FA" w:rsidRDefault="00F673FA" w:rsidP="00F673FA">
      <w:pPr>
        <w:pStyle w:val="Heading1"/>
        <w:rPr>
          <w:b/>
          <w:bCs/>
          <w:lang w:bidi="ar-SA"/>
        </w:rPr>
      </w:pPr>
      <w:bookmarkStart w:id="0" w:name="_Toc142479533"/>
      <w:bookmarkStart w:id="1" w:name="_Toc239056221"/>
      <w:r w:rsidRPr="00D34E21">
        <w:rPr>
          <w:noProof/>
        </w:rPr>
        <w:drawing>
          <wp:anchor distT="0" distB="0" distL="114300" distR="114300" simplePos="0" relativeHeight="251658240" behindDoc="0" locked="0" layoutInCell="1" allowOverlap="1" wp14:anchorId="444D337B" wp14:editId="3F6150D0">
            <wp:simplePos x="0" y="0"/>
            <wp:positionH relativeFrom="margin">
              <wp:posOffset>4420535</wp:posOffset>
            </wp:positionH>
            <wp:positionV relativeFrom="paragraph">
              <wp:posOffset>-417195</wp:posOffset>
            </wp:positionV>
            <wp:extent cx="1371600" cy="417600"/>
            <wp:effectExtent l="0" t="0" r="0" b="1905"/>
            <wp:wrapNone/>
            <wp:docPr id="19300835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1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3FA">
        <w:rPr>
          <w:b/>
          <w:bCs/>
          <w:lang w:bidi="ar-SA"/>
        </w:rPr>
        <w:t>Submission</w:t>
      </w:r>
      <w:bookmarkEnd w:id="0"/>
      <w:r w:rsidRPr="00F673FA">
        <w:rPr>
          <w:b/>
          <w:bCs/>
          <w:lang w:bidi="ar-SA"/>
        </w:rPr>
        <w:t xml:space="preserve"> form (Plug-in generation)</w:t>
      </w:r>
      <w:bookmarkEnd w:id="1"/>
      <w:r w:rsidRPr="00F673FA">
        <w:rPr>
          <w:noProof/>
        </w:rPr>
        <w:t xml:space="preserve"> </w:t>
      </w:r>
    </w:p>
    <w:p w14:paraId="1051633B" w14:textId="77777777" w:rsidR="00F673FA" w:rsidRPr="00F673FA" w:rsidRDefault="00F673FA" w:rsidP="00F673FA">
      <w:pPr>
        <w:spacing w:after="120" w:line="269" w:lineRule="auto"/>
        <w:rPr>
          <w:rFonts w:ascii="Arial" w:eastAsia="Arial" w:hAnsi="Arial" w:cs="Times New Roman"/>
          <w:color w:val="000000"/>
          <w:kern w:val="0"/>
          <w:sz w:val="22"/>
          <w:szCs w:val="22"/>
          <w:lang w:bidi="ar-SA"/>
          <w14:ligatures w14:val="none"/>
        </w:rPr>
      </w:pPr>
      <w:r w:rsidRPr="00F673FA">
        <w:rPr>
          <w:rFonts w:ascii="Arial" w:eastAsia="Arial" w:hAnsi="Arial" w:cs="Times New Roman"/>
          <w:color w:val="000000"/>
          <w:kern w:val="0"/>
          <w:sz w:val="22"/>
          <w:szCs w:val="22"/>
          <w:lang w:bidi="ar-SA"/>
          <w14:ligatures w14:val="none"/>
        </w:rPr>
        <w:t xml:space="preserve">Please email your submission to: </w:t>
      </w:r>
      <w:hyperlink r:id="rId9" w:history="1">
        <w:r w:rsidRPr="00F673FA">
          <w:rPr>
            <w:rFonts w:ascii="Arial" w:eastAsia="Arial" w:hAnsi="Arial" w:cs="Times New Roman"/>
            <w:color w:val="426DA9"/>
            <w:kern w:val="0"/>
            <w:sz w:val="22"/>
            <w:szCs w:val="22"/>
            <w:u w:val="single"/>
            <w:lang w:bidi="ar-SA"/>
            <w14:ligatures w14:val="none"/>
          </w:rPr>
          <w:t>connection.feedback@ea.govt.nz</w:t>
        </w:r>
      </w:hyperlink>
      <w:r w:rsidRPr="00F673FA">
        <w:rPr>
          <w:rFonts w:ascii="Arial" w:eastAsia="Arial" w:hAnsi="Arial" w:cs="Times New Roman"/>
          <w:color w:val="000000"/>
          <w:kern w:val="0"/>
          <w:sz w:val="22"/>
          <w:szCs w:val="22"/>
          <w:lang w:bidi="ar-SA"/>
          <w14:ligatures w14:val="none"/>
        </w:rPr>
        <w:t xml:space="preserve"> by 5pm, </w:t>
      </w:r>
      <w:sdt>
        <w:sdtPr>
          <w:rPr>
            <w:rFonts w:ascii="Arial" w:eastAsia="Arial" w:hAnsi="Arial" w:cs="Times New Roman"/>
            <w:color w:val="000000"/>
            <w:kern w:val="0"/>
            <w:sz w:val="22"/>
            <w:szCs w:val="22"/>
            <w:lang w:bidi="ar-SA"/>
            <w14:ligatures w14:val="none"/>
          </w:rPr>
          <w:id w:val="-1527399558"/>
          <w:placeholder>
            <w:docPart w:val="29FE225EBB004AC48CE23E23C3006E1B"/>
          </w:placeholder>
          <w:date w:fullDate="2026-10-06T00:00:00Z">
            <w:dateFormat w:val="dddd d MMMM yyyy"/>
            <w:lid w:val="en-NZ"/>
            <w:storeMappedDataAs w:val="dateTime"/>
            <w:calendar w:val="gregorian"/>
          </w:date>
        </w:sdtPr>
        <w:sdtEndPr/>
        <w:sdtContent>
          <w:r w:rsidRPr="00F673FA">
            <w:rPr>
              <w:rFonts w:ascii="Arial" w:eastAsia="Arial" w:hAnsi="Arial" w:cs="Times New Roman"/>
              <w:color w:val="000000"/>
              <w:kern w:val="0"/>
              <w:sz w:val="22"/>
              <w:szCs w:val="22"/>
              <w:lang w:bidi="ar-SA"/>
              <w14:ligatures w14:val="none"/>
            </w:rPr>
            <w:t>Tuesday 6 October 2026</w:t>
          </w:r>
        </w:sdtContent>
      </w:sdt>
    </w:p>
    <w:tbl>
      <w:tblPr>
        <w:tblStyle w:val="EATable1"/>
        <w:tblW w:w="0" w:type="auto"/>
        <w:tblInd w:w="-5" w:type="dxa"/>
        <w:tblLook w:val="0480" w:firstRow="0" w:lastRow="0" w:firstColumn="1" w:lastColumn="0" w:noHBand="0" w:noVBand="1"/>
      </w:tblPr>
      <w:tblGrid>
        <w:gridCol w:w="2325"/>
        <w:gridCol w:w="6696"/>
      </w:tblGrid>
      <w:tr w:rsidR="00685C96" w:rsidRPr="00685C96" w14:paraId="788CD374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1D8AD5F9" w14:textId="77777777" w:rsidR="00685C96" w:rsidRPr="00685C96" w:rsidRDefault="00685C96" w:rsidP="00685C96">
            <w:pPr>
              <w:spacing w:after="0"/>
              <w:rPr>
                <w:rFonts w:eastAsia="Arial"/>
                <w:szCs w:val="19"/>
                <w:lang w:bidi="ar-SA"/>
              </w:rPr>
            </w:pPr>
            <w:r w:rsidRPr="00685C96">
              <w:rPr>
                <w:rFonts w:eastAsia="Arial"/>
                <w:szCs w:val="19"/>
                <w:lang w:bidi="ar-SA"/>
              </w:rPr>
              <w:t>Name</w:t>
            </w:r>
          </w:p>
        </w:tc>
        <w:tc>
          <w:tcPr>
            <w:tcW w:w="7216" w:type="dxa"/>
          </w:tcPr>
          <w:p w14:paraId="723F6D8C" w14:textId="77777777" w:rsidR="00685C96" w:rsidRPr="00685C96" w:rsidRDefault="00685C96" w:rsidP="00685C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404040"/>
                <w:szCs w:val="19"/>
                <w:lang w:bidi="ar-SA"/>
              </w:rPr>
            </w:pPr>
          </w:p>
          <w:p w14:paraId="065A87A1" w14:textId="77777777" w:rsidR="00685C96" w:rsidRPr="00685C96" w:rsidRDefault="00685C96" w:rsidP="00685C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404040"/>
                <w:szCs w:val="19"/>
                <w:lang w:bidi="ar-SA"/>
              </w:rPr>
            </w:pPr>
          </w:p>
          <w:p w14:paraId="5A11D107" w14:textId="77777777" w:rsidR="00685C96" w:rsidRPr="00685C96" w:rsidRDefault="00685C96" w:rsidP="00685C9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color w:val="404040"/>
                <w:szCs w:val="19"/>
                <w:lang w:bidi="ar-SA"/>
              </w:rPr>
            </w:pPr>
          </w:p>
        </w:tc>
      </w:tr>
      <w:tr w:rsidR="00685C96" w:rsidRPr="00685C96" w14:paraId="0B271C97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4D990825" w14:textId="77777777" w:rsidR="00685C96" w:rsidRPr="00685C96" w:rsidRDefault="00685C96" w:rsidP="00685C96">
            <w:pPr>
              <w:spacing w:after="0"/>
              <w:rPr>
                <w:rFonts w:eastAsia="Arial"/>
                <w:szCs w:val="19"/>
                <w:lang w:bidi="ar-SA"/>
              </w:rPr>
            </w:pPr>
            <w:r w:rsidRPr="00685C96">
              <w:rPr>
                <w:rFonts w:eastAsia="Arial"/>
                <w:szCs w:val="19"/>
                <w:lang w:bidi="ar-SA"/>
              </w:rPr>
              <w:t>Organisation</w:t>
            </w:r>
          </w:p>
        </w:tc>
        <w:tc>
          <w:tcPr>
            <w:tcW w:w="7216" w:type="dxa"/>
          </w:tcPr>
          <w:p w14:paraId="02DA48CA" w14:textId="77777777" w:rsidR="00685C96" w:rsidRPr="00685C96" w:rsidRDefault="00685C96" w:rsidP="00685C96">
            <w:pPr>
              <w:spacing w:before="40" w:after="4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Arial"/>
                <w:color w:val="404040"/>
                <w:szCs w:val="19"/>
                <w:lang w:bidi="ar-SA"/>
              </w:rPr>
            </w:pPr>
          </w:p>
        </w:tc>
      </w:tr>
    </w:tbl>
    <w:p w14:paraId="33B0D6C6" w14:textId="77777777" w:rsidR="00F673FA" w:rsidRPr="00F673FA" w:rsidRDefault="00F673FA" w:rsidP="00F673FA">
      <w:pPr>
        <w:spacing w:after="120" w:line="269" w:lineRule="auto"/>
        <w:rPr>
          <w:rFonts w:ascii="Arial" w:eastAsia="Arial" w:hAnsi="Arial" w:cs="Times New Roman"/>
          <w:color w:val="000000"/>
          <w:kern w:val="0"/>
          <w:sz w:val="22"/>
          <w:szCs w:val="22"/>
          <w:lang w:bidi="ar-SA"/>
          <w14:ligatures w14:val="none"/>
        </w:rPr>
      </w:pPr>
    </w:p>
    <w:p w14:paraId="222C37C8" w14:textId="77777777" w:rsidR="00F673FA" w:rsidRPr="00F673FA" w:rsidRDefault="00F673FA" w:rsidP="00F673FA">
      <w:pPr>
        <w:spacing w:after="120" w:line="269" w:lineRule="auto"/>
        <w:rPr>
          <w:rFonts w:ascii="Arial" w:eastAsia="Arial" w:hAnsi="Arial" w:cs="Times New Roman"/>
          <w:b/>
          <w:color w:val="000000"/>
          <w:kern w:val="0"/>
          <w:sz w:val="22"/>
          <w:szCs w:val="22"/>
          <w:lang w:bidi="ar-SA"/>
          <w14:ligatures w14:val="none"/>
        </w:rPr>
      </w:pPr>
      <w:r w:rsidRPr="00F673FA">
        <w:rPr>
          <w:rFonts w:ascii="Arial" w:eastAsia="Arial" w:hAnsi="Arial" w:cs="Times New Roman"/>
          <w:b/>
          <w:color w:val="000000"/>
          <w:kern w:val="0"/>
          <w:sz w:val="22"/>
          <w:szCs w:val="22"/>
          <w:lang w:bidi="ar-SA"/>
          <w14:ligatures w14:val="none"/>
        </w:rPr>
        <w:t>Questions on issues regarding plug-in generation</w:t>
      </w:r>
    </w:p>
    <w:tbl>
      <w:tblPr>
        <w:tblStyle w:val="EATable"/>
        <w:tblW w:w="0" w:type="auto"/>
        <w:tblInd w:w="-5" w:type="dxa"/>
        <w:tblCellMar>
          <w:top w:w="57" w:type="dxa"/>
          <w:bottom w:w="57" w:type="dxa"/>
        </w:tblCellMar>
        <w:tblLook w:val="0420" w:firstRow="1" w:lastRow="0" w:firstColumn="0" w:lastColumn="0" w:noHBand="0" w:noVBand="1"/>
      </w:tblPr>
      <w:tblGrid>
        <w:gridCol w:w="3786"/>
        <w:gridCol w:w="5235"/>
      </w:tblGrid>
      <w:tr w:rsidR="00F673FA" w:rsidRPr="00F673FA" w14:paraId="1DA95602" w14:textId="77777777" w:rsidTr="00841B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1564C2EF" w14:textId="77777777" w:rsidR="00F673FA" w:rsidRPr="00F673FA" w:rsidRDefault="00F673FA" w:rsidP="00F673FA">
            <w:pPr>
              <w:rPr>
                <w:rFonts w:eastAsia="Arial"/>
                <w:szCs w:val="19"/>
              </w:rPr>
            </w:pPr>
            <w:r w:rsidRPr="00F673FA">
              <w:rPr>
                <w:rFonts w:eastAsia="Arial"/>
                <w:szCs w:val="19"/>
              </w:rPr>
              <w:t>Questions</w:t>
            </w:r>
          </w:p>
        </w:tc>
        <w:tc>
          <w:tcPr>
            <w:tcW w:w="5657" w:type="dxa"/>
            <w:vAlign w:val="top"/>
          </w:tcPr>
          <w:p w14:paraId="5597050B" w14:textId="77777777" w:rsidR="00F673FA" w:rsidRPr="00F673FA" w:rsidRDefault="00F673FA" w:rsidP="00F673FA">
            <w:pPr>
              <w:rPr>
                <w:rFonts w:eastAsia="Arial"/>
                <w:szCs w:val="19"/>
              </w:rPr>
            </w:pPr>
            <w:r w:rsidRPr="00F673FA">
              <w:rPr>
                <w:rFonts w:eastAsia="Arial"/>
                <w:szCs w:val="19"/>
              </w:rPr>
              <w:t>Comments</w:t>
            </w:r>
          </w:p>
        </w:tc>
      </w:tr>
      <w:tr w:rsidR="00F673FA" w:rsidRPr="00F673FA" w14:paraId="3D969DC5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04554A7F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Q1. Do you have any views on our characterisation of plug-in generation?</w:t>
            </w:r>
          </w:p>
        </w:tc>
        <w:tc>
          <w:tcPr>
            <w:tcW w:w="5657" w:type="dxa"/>
            <w:vAlign w:val="top"/>
          </w:tcPr>
          <w:p w14:paraId="57178D5A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56CF97CD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562F73DE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Q2. What network performance requirements should apply to plug-in inverters in New Zealand, and why?</w:t>
            </w:r>
          </w:p>
        </w:tc>
        <w:tc>
          <w:tcPr>
            <w:tcW w:w="5657" w:type="dxa"/>
            <w:vAlign w:val="top"/>
          </w:tcPr>
          <w:p w14:paraId="757CFBAA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7846CDE6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74FF74CD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Q3. What do you think of the Authority excluding plug-in generation standards from the Code?</w:t>
            </w:r>
          </w:p>
        </w:tc>
        <w:tc>
          <w:tcPr>
            <w:tcW w:w="5657" w:type="dxa"/>
            <w:vAlign w:val="top"/>
          </w:tcPr>
          <w:p w14:paraId="0730DACE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2D0B6ADC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45"/>
        </w:trPr>
        <w:tc>
          <w:tcPr>
            <w:tcW w:w="3969" w:type="dxa"/>
            <w:vAlign w:val="top"/>
          </w:tcPr>
          <w:p w14:paraId="4F55F22E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 xml:space="preserve">Q4. Do you agree that in the absence of a professional intermediary, it will be challenging to obtain a Part 6-type application from a plug-in generation consumer? Why, why not? </w:t>
            </w:r>
          </w:p>
        </w:tc>
        <w:tc>
          <w:tcPr>
            <w:tcW w:w="5657" w:type="dxa"/>
            <w:vAlign w:val="top"/>
          </w:tcPr>
          <w:p w14:paraId="2F38B1D8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3F6EF691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2A0F4706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 xml:space="preserve">Q5. For a consumer to connect plug-in generation to their premises, should some form of Part 6-type application process be required? Why, why not? </w:t>
            </w:r>
          </w:p>
        </w:tc>
        <w:tc>
          <w:tcPr>
            <w:tcW w:w="5657" w:type="dxa"/>
            <w:vAlign w:val="top"/>
          </w:tcPr>
          <w:p w14:paraId="27248780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6CB1466F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1EF5F3F1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 xml:space="preserve">Q6. If a form of Part 6-type application process should be implemented for plug-in generation, do you see that is a notification/registration, or an application that requires distributor approval? Why? </w:t>
            </w:r>
          </w:p>
        </w:tc>
        <w:tc>
          <w:tcPr>
            <w:tcW w:w="5657" w:type="dxa"/>
            <w:vAlign w:val="top"/>
          </w:tcPr>
          <w:p w14:paraId="5C9C212B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5E78404D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67E80C07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Q7. What information should be required if a registration or application for a plug-in generation unit is to be implemented?</w:t>
            </w:r>
          </w:p>
        </w:tc>
        <w:tc>
          <w:tcPr>
            <w:tcW w:w="5657" w:type="dxa"/>
            <w:vAlign w:val="top"/>
          </w:tcPr>
          <w:p w14:paraId="4C22648D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0CC18EF9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4647A3F6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 xml:space="preserve">Q8. Would participants benefit from a registry that captures information about plug-in generation? Why, why not? </w:t>
            </w:r>
          </w:p>
        </w:tc>
        <w:tc>
          <w:tcPr>
            <w:tcW w:w="5657" w:type="dxa"/>
            <w:vAlign w:val="top"/>
          </w:tcPr>
          <w:p w14:paraId="4569F3FA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4227E275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78968F11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Q9. Should the existing registry be used? Why, why not?</w:t>
            </w:r>
          </w:p>
        </w:tc>
        <w:tc>
          <w:tcPr>
            <w:tcW w:w="5657" w:type="dxa"/>
            <w:vAlign w:val="top"/>
          </w:tcPr>
          <w:p w14:paraId="42FB6A40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6AA66608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0F2767BE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Q10. Should entering information about plug-in generation be a requirement only after export has been identified at an ICP? Why, why not?</w:t>
            </w:r>
          </w:p>
        </w:tc>
        <w:tc>
          <w:tcPr>
            <w:tcW w:w="5657" w:type="dxa"/>
            <w:vAlign w:val="top"/>
          </w:tcPr>
          <w:p w14:paraId="75C39134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56BDA6FC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0CA541B6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Q11. Would the type of information able to be collected at point of sale be sufficient to meet industry needs? Why, why not?</w:t>
            </w:r>
          </w:p>
        </w:tc>
        <w:tc>
          <w:tcPr>
            <w:tcW w:w="5657" w:type="dxa"/>
            <w:vAlign w:val="top"/>
          </w:tcPr>
          <w:p w14:paraId="3AD69FCF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0E63E32E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44BBE2C5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lastRenderedPageBreak/>
              <w:t>Q12. Should the MEPs reverse power indicator be leveraged in identifying potential plug-in generation export? Why, why not?</w:t>
            </w:r>
          </w:p>
        </w:tc>
        <w:tc>
          <w:tcPr>
            <w:tcW w:w="5657" w:type="dxa"/>
            <w:vAlign w:val="top"/>
          </w:tcPr>
          <w:p w14:paraId="76F77582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77185932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290F255E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Q13. Do you agree there is merit in considering whether retailers should be the primary customer interface for plug-in generation registration/notification? Why, why not?</w:t>
            </w:r>
          </w:p>
        </w:tc>
        <w:tc>
          <w:tcPr>
            <w:tcW w:w="5657" w:type="dxa"/>
            <w:vAlign w:val="top"/>
          </w:tcPr>
          <w:p w14:paraId="45194FD4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2851A0D3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7C22C38E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Q14. Do you have any other suggestions on how consumers could be informed of Code requirements for plug-in generation?</w:t>
            </w:r>
          </w:p>
        </w:tc>
        <w:tc>
          <w:tcPr>
            <w:tcW w:w="5657" w:type="dxa"/>
            <w:vAlign w:val="top"/>
          </w:tcPr>
          <w:p w14:paraId="5CB50A1B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3BB9D5F9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5E939186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Q15. Should an ability for plug-in generation consumers to receive payment for export be predicated by some form of Part 6 application and approval process? Why, why not?</w:t>
            </w:r>
          </w:p>
        </w:tc>
        <w:tc>
          <w:tcPr>
            <w:tcW w:w="5657" w:type="dxa"/>
            <w:vAlign w:val="top"/>
          </w:tcPr>
          <w:p w14:paraId="5E429779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267A5B5B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63528334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Q16. What measures could be implemented to inform consumers of electricity export at their ICP that is potentially associated with plug-in generation, and what information should this include?</w:t>
            </w:r>
          </w:p>
        </w:tc>
        <w:tc>
          <w:tcPr>
            <w:tcW w:w="5657" w:type="dxa"/>
            <w:vAlign w:val="top"/>
          </w:tcPr>
          <w:p w14:paraId="6F80423F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4BDCEA5C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3F0F7E43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Q17. Should consumers be proactively informed of the potential for plug-in generation to export to a network. If so, which party is best placed to undertake this education role?</w:t>
            </w:r>
          </w:p>
        </w:tc>
        <w:tc>
          <w:tcPr>
            <w:tcW w:w="5657" w:type="dxa"/>
            <w:vAlign w:val="top"/>
          </w:tcPr>
          <w:p w14:paraId="506B9FC3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2D1DD00A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7517A230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Q18. What issues do you see with more UFE in the reconciliation system as a result of more export from plug-in generation?</w:t>
            </w:r>
          </w:p>
        </w:tc>
        <w:tc>
          <w:tcPr>
            <w:tcW w:w="5657" w:type="dxa"/>
            <w:vAlign w:val="top"/>
          </w:tcPr>
          <w:p w14:paraId="26B5F251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6312C125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6BC2D577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Q19. Do you agree with our view that plug-in generation export with no measurement enabled can be treated as UFE in reconciliation processes, with no need for formal gifting documentation? Would your view change as plug-in generation increases?</w:t>
            </w:r>
          </w:p>
        </w:tc>
        <w:tc>
          <w:tcPr>
            <w:tcW w:w="5657" w:type="dxa"/>
            <w:vAlign w:val="top"/>
          </w:tcPr>
          <w:p w14:paraId="2C841B29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2E257E35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61888CB2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Q20. If gifting documentation were to be required by a plug-in generation consumer, how could this be facilitated?</w:t>
            </w:r>
          </w:p>
        </w:tc>
        <w:tc>
          <w:tcPr>
            <w:tcW w:w="5657" w:type="dxa"/>
            <w:vAlign w:val="top"/>
          </w:tcPr>
          <w:p w14:paraId="4E8A63DA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0CDFC5CF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6F679330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Q21. Are there other genuine issues identified by the reverse power indicator?</w:t>
            </w:r>
          </w:p>
        </w:tc>
        <w:tc>
          <w:tcPr>
            <w:tcW w:w="5657" w:type="dxa"/>
            <w:vAlign w:val="top"/>
          </w:tcPr>
          <w:p w14:paraId="738693C4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2529440D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7FB4568F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Q22. Should the requirement on the MEP to notify the retailer via a reverse power indicator be reconsidered, if more plug-in generation is used? Why, why not?</w:t>
            </w:r>
          </w:p>
        </w:tc>
        <w:tc>
          <w:tcPr>
            <w:tcW w:w="5657" w:type="dxa"/>
            <w:vAlign w:val="top"/>
          </w:tcPr>
          <w:p w14:paraId="4469AD47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2942CA7B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3B247699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Q23. Is there a way for a MEP to filter out plug-in generation related reverse power indicators?</w:t>
            </w:r>
          </w:p>
        </w:tc>
        <w:tc>
          <w:tcPr>
            <w:tcW w:w="5657" w:type="dxa"/>
            <w:vAlign w:val="top"/>
          </w:tcPr>
          <w:p w14:paraId="00E69730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430933E9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025E9373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Q24. Should Part 10 include an exclusion for requiring import/export metering for plug-in generation? Why, why not?</w:t>
            </w:r>
          </w:p>
        </w:tc>
        <w:tc>
          <w:tcPr>
            <w:tcW w:w="5657" w:type="dxa"/>
            <w:vAlign w:val="top"/>
          </w:tcPr>
          <w:p w14:paraId="014B5BB1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1589AEB6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531956FA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Q25. Should Part 6 clarify requirements for a plug-in generation system being connected alongside approved permanently-fixed DG?</w:t>
            </w:r>
          </w:p>
        </w:tc>
        <w:tc>
          <w:tcPr>
            <w:tcW w:w="5657" w:type="dxa"/>
            <w:vAlign w:val="top"/>
          </w:tcPr>
          <w:p w14:paraId="0E2AA85D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3399553D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5E003510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 xml:space="preserve">Q26. Should the Code clarify limits on the amount of plug-in generation capacity that can be connected at an ICP (noting any standards developed may define limits)?  </w:t>
            </w:r>
          </w:p>
        </w:tc>
        <w:tc>
          <w:tcPr>
            <w:tcW w:w="5657" w:type="dxa"/>
            <w:vAlign w:val="top"/>
          </w:tcPr>
          <w:p w14:paraId="49008273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1CF4B8E5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1C67C860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lastRenderedPageBreak/>
              <w:t>Q27. What sources of information could the Authority use to monitor uptake of plug-in generation and/or any issues that may arise?</w:t>
            </w:r>
          </w:p>
        </w:tc>
        <w:tc>
          <w:tcPr>
            <w:tcW w:w="5657" w:type="dxa"/>
            <w:vAlign w:val="top"/>
          </w:tcPr>
          <w:p w14:paraId="547EBBBA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1AA67A56" w14:textId="77777777" w:rsidTr="00841B0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7365F95D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 xml:space="preserve">Q28. Do you agree with our overall characterisation of the challenges of plug-in generation? Why, why not?  </w:t>
            </w:r>
          </w:p>
        </w:tc>
        <w:tc>
          <w:tcPr>
            <w:tcW w:w="5657" w:type="dxa"/>
            <w:vAlign w:val="top"/>
          </w:tcPr>
          <w:p w14:paraId="2A1C4C43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  <w:tr w:rsidR="00F673FA" w:rsidRPr="00F673FA" w14:paraId="3C3B3CC2" w14:textId="77777777" w:rsidTr="00841B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69" w:type="dxa"/>
            <w:vAlign w:val="top"/>
          </w:tcPr>
          <w:p w14:paraId="7FB00077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  <w:r w:rsidRPr="00F673FA">
              <w:rPr>
                <w:rFonts w:eastAsia="Arial"/>
                <w:color w:val="404040"/>
                <w:szCs w:val="19"/>
              </w:rPr>
              <w:t>Q29. Which of the challenges outlined in this paper present the most pressing issue for the Authority to address?</w:t>
            </w:r>
          </w:p>
        </w:tc>
        <w:tc>
          <w:tcPr>
            <w:tcW w:w="5657" w:type="dxa"/>
            <w:vAlign w:val="top"/>
          </w:tcPr>
          <w:p w14:paraId="1E0EE386" w14:textId="77777777" w:rsidR="00F673FA" w:rsidRPr="00F673FA" w:rsidRDefault="00F673FA" w:rsidP="00F673FA">
            <w:pPr>
              <w:spacing w:before="40" w:after="40"/>
              <w:rPr>
                <w:rFonts w:eastAsia="Arial"/>
                <w:color w:val="404040"/>
                <w:szCs w:val="19"/>
              </w:rPr>
            </w:pPr>
          </w:p>
        </w:tc>
      </w:tr>
    </w:tbl>
    <w:p w14:paraId="2F479F3B" w14:textId="77777777" w:rsidR="00EF3074" w:rsidRDefault="00EF3074"/>
    <w:sectPr w:rsidR="00EF30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3FA"/>
    <w:rsid w:val="00005181"/>
    <w:rsid w:val="000C17CD"/>
    <w:rsid w:val="0020366C"/>
    <w:rsid w:val="003C0CDC"/>
    <w:rsid w:val="00477121"/>
    <w:rsid w:val="004F0052"/>
    <w:rsid w:val="00685C96"/>
    <w:rsid w:val="00833583"/>
    <w:rsid w:val="00835A72"/>
    <w:rsid w:val="00861183"/>
    <w:rsid w:val="00B82C3F"/>
    <w:rsid w:val="00C90FEE"/>
    <w:rsid w:val="00CF2B1E"/>
    <w:rsid w:val="00EF3074"/>
    <w:rsid w:val="00F6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4E403"/>
  <w15:chartTrackingRefBased/>
  <w15:docId w15:val="{7CF130D0-B0FA-4519-BE68-8BE81B0AB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NZ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73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3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3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3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3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3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3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3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3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3F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3F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3F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3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3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3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3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3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3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3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673F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3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673F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673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3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3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3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3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3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3FA"/>
    <w:rPr>
      <w:b/>
      <w:bCs/>
      <w:smallCaps/>
      <w:color w:val="0F4761" w:themeColor="accent1" w:themeShade="BF"/>
      <w:spacing w:val="5"/>
    </w:rPr>
  </w:style>
  <w:style w:type="table" w:customStyle="1" w:styleId="EATable">
    <w:name w:val="EA Table"/>
    <w:basedOn w:val="TableGridLight"/>
    <w:uiPriority w:val="99"/>
    <w:rsid w:val="00F673FA"/>
    <w:rPr>
      <w:rFonts w:cs="Times New Roman"/>
      <w:kern w:val="0"/>
      <w:sz w:val="20"/>
      <w:szCs w:val="20"/>
      <w:lang w:eastAsia="en-NZ" w:bidi="ar-SA"/>
      <w14:shadow w14:blurRad="0" w14:dist="0" w14:dir="0" w14:sx="0" w14:sy="0" w14:kx="0" w14:ky="0" w14:algn="ctr">
        <w14:srgbClr w14:val="000000"/>
      </w14:shadow>
      <w14:reflection w14:blurRad="0" w14:stA="100000" w14:stPos="0" w14:endA="0" w14:endPos="0" w14:dist="0" w14:dir="0" w14:fadeDir="0" w14:sx="0" w14:sy="0" w14:kx="0" w14:ky="0" w14:algn="b"/>
      <w14:ligatures w14:val="none"/>
    </w:rPr>
    <w:tblPr>
      <w:tblStyleRowBandSize w:val="1"/>
      <w:tblStyleColBandSize w:val="1"/>
      <w:tblInd w:w="595" w:type="dxa"/>
      <w:tblBorders>
        <w:top w:val="single" w:sz="4" w:space="0" w:color="002B49"/>
        <w:left w:val="single" w:sz="4" w:space="0" w:color="002B49"/>
        <w:bottom w:val="single" w:sz="4" w:space="0" w:color="002B49"/>
        <w:right w:val="single" w:sz="4" w:space="0" w:color="002B49"/>
        <w:insideH w:val="single" w:sz="4" w:space="0" w:color="002B49"/>
        <w:insideV w:val="single" w:sz="4" w:space="0" w:color="002B49"/>
      </w:tblBorders>
      <w:tblCellMar>
        <w:top w:w="28" w:type="dxa"/>
        <w:left w:w="45" w:type="dxa"/>
        <w:bottom w:w="28" w:type="dxa"/>
        <w:right w:w="28" w:type="dxa"/>
      </w:tblCellMar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="Arial" w:hAnsi="Arial"/>
        <w:b/>
        <w:i w:val="0"/>
        <w:color w:val="FFFFFF"/>
        <w:sz w:val="19"/>
      </w:rPr>
      <w:tblPr/>
      <w:tcPr>
        <w:tcBorders>
          <w:top w:val="single" w:sz="4" w:space="0" w:color="002B49"/>
          <w:left w:val="single" w:sz="4" w:space="0" w:color="002B49"/>
          <w:bottom w:val="single" w:sz="4" w:space="0" w:color="002B49"/>
          <w:right w:val="single" w:sz="4" w:space="0" w:color="002B49"/>
          <w:insideH w:val="single" w:sz="4" w:space="0" w:color="002B49"/>
          <w:insideV w:val="single" w:sz="4" w:space="0" w:color="002B49"/>
          <w:tl2br w:val="nil"/>
          <w:tr2bl w:val="nil"/>
        </w:tcBorders>
        <w:shd w:val="clear" w:color="auto" w:fill="002B49"/>
        <w:tcMar>
          <w:top w:w="57" w:type="dxa"/>
          <w:left w:w="45" w:type="dxa"/>
          <w:bottom w:w="57" w:type="dxa"/>
          <w:right w:w="0" w:type="nil"/>
        </w:tcMar>
      </w:tcPr>
    </w:tblStylePr>
    <w:tblStylePr w:type="la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/>
        <w:jc w:val="left"/>
        <w:outlineLvl w:val="9"/>
      </w:pPr>
      <w:rPr>
        <w:rFonts w:ascii="Arial" w:hAnsi="Arial"/>
        <w:i/>
        <w:iCs/>
        <w:sz w:val="18"/>
      </w:rPr>
      <w:tblPr/>
      <w:tcPr>
        <w:tcBorders>
          <w:tl2br w:val="none" w:sz="0" w:space="0" w:color="auto"/>
          <w:tr2bl w:val="none" w:sz="0" w:space="0" w:color="auto"/>
        </w:tcBorders>
        <w:tcMar>
          <w:top w:w="57" w:type="dxa"/>
          <w:left w:w="45" w:type="dxa"/>
          <w:bottom w:w="57" w:type="dxa"/>
          <w:right w:w="0" w:type="nil"/>
        </w:tcMar>
      </w:tcPr>
    </w:tblStylePr>
    <w:tblStylePr w:type="firstCol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="Arial" w:hAnsi="Arial"/>
        <w:b/>
        <w:i w:val="0"/>
        <w:color w:val="FFFFFF"/>
        <w:sz w:val="19"/>
      </w:rPr>
      <w:tblPr/>
      <w:tcPr>
        <w:shd w:val="clear" w:color="auto" w:fill="002B49"/>
        <w:tcMar>
          <w:top w:w="57" w:type="dxa"/>
          <w:left w:w="45" w:type="dxa"/>
          <w:bottom w:w="57" w:type="dxa"/>
          <w:right w:w="0" w:type="nil"/>
        </w:tcMar>
      </w:tcPr>
    </w:tblStylePr>
    <w:tblStylePr w:type="lastCol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</w:tblStylePr>
    <w:tblStylePr w:type="band2Vert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="Arial" w:hAnsi="Arial"/>
        <w:color w:val="auto"/>
        <w:sz w:val="18"/>
      </w:rPr>
      <w:tblPr/>
      <w:tcPr>
        <w:shd w:val="clear" w:color="auto" w:fill="F5F5EE"/>
        <w:vAlign w:val="top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="Arial" w:hAnsi="Arial"/>
        <w:color w:val="auto"/>
        <w:sz w:val="18"/>
      </w:rPr>
      <w:tblPr/>
      <w:tcPr>
        <w:shd w:val="clear" w:color="auto" w:fill="D7E1EF"/>
      </w:tcPr>
    </w:tblStylePr>
    <w:tblStylePr w:type="neCell">
      <w:pPr>
        <w:wordWrap/>
        <w:spacing w:beforeLines="0" w:before="0" w:beforeAutospacing="0" w:afterLines="0" w:after="0" w:afterAutospacing="0" w:line="240" w:lineRule="auto"/>
      </w:pPr>
    </w:tblStylePr>
  </w:style>
  <w:style w:type="table" w:styleId="TableGridLight">
    <w:name w:val="Grid Table Light"/>
    <w:basedOn w:val="TableNormal"/>
    <w:uiPriority w:val="40"/>
    <w:rsid w:val="00F673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EATable1">
    <w:name w:val="EA Table1"/>
    <w:basedOn w:val="TableGridLight"/>
    <w:uiPriority w:val="99"/>
    <w:rsid w:val="00685C96"/>
    <w:rPr>
      <w:rFonts w:cs="Angsana New"/>
      <w:kern w:val="0"/>
      <w:sz w:val="20"/>
      <w:szCs w:val="20"/>
      <w:lang w:eastAsia="en-NZ"/>
      <w14:shadow w14:blurRad="0" w14:dist="0" w14:dir="0" w14:sx="0" w14:sy="0" w14:kx="0" w14:ky="0" w14:algn="ctr">
        <w14:srgbClr w14:val="000000"/>
      </w14:shadow>
      <w14:reflection w14:blurRad="0" w14:stA="100000" w14:stPos="0" w14:endA="0" w14:endPos="0" w14:dist="0" w14:dir="0" w14:fadeDir="0" w14:sx="0" w14:sy="0" w14:kx="0" w14:ky="0" w14:algn="b"/>
      <w14:ligatures w14:val="none"/>
    </w:rPr>
    <w:tblPr>
      <w:tblStyleRowBandSize w:val="1"/>
      <w:tblStyleColBandSize w:val="1"/>
      <w:tblInd w:w="28" w:type="dxa"/>
      <w:tblBorders>
        <w:top w:val="single" w:sz="4" w:space="0" w:color="002B49"/>
        <w:left w:val="single" w:sz="4" w:space="0" w:color="002B49"/>
        <w:bottom w:val="single" w:sz="4" w:space="0" w:color="002B49"/>
        <w:right w:val="single" w:sz="4" w:space="0" w:color="002B49"/>
        <w:insideH w:val="single" w:sz="4" w:space="0" w:color="002B49"/>
        <w:insideV w:val="single" w:sz="4" w:space="0" w:color="002B49"/>
      </w:tblBorders>
      <w:tblCellMar>
        <w:top w:w="28" w:type="dxa"/>
        <w:left w:w="45" w:type="dxa"/>
        <w:bottom w:w="28" w:type="dxa"/>
        <w:right w:w="28" w:type="dxa"/>
      </w:tblCellMar>
    </w:tblPr>
    <w:tcPr>
      <w:vAlign w:val="center"/>
    </w:tcPr>
    <w:tblStylePr w:type="firstRow">
      <w:pPr>
        <w:wordWrap/>
        <w:spacing w:beforeLines="0" w:before="40" w:beforeAutospacing="0" w:afterLines="0" w:after="4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="Arial" w:hAnsi="Arial"/>
        <w:b/>
        <w:i w:val="0"/>
        <w:color w:val="FFFFFF"/>
        <w:sz w:val="19"/>
      </w:rPr>
      <w:tblPr/>
      <w:tcPr>
        <w:tcBorders>
          <w:top w:val="single" w:sz="4" w:space="0" w:color="002B49"/>
          <w:left w:val="single" w:sz="4" w:space="0" w:color="002B49"/>
          <w:bottom w:val="single" w:sz="4" w:space="0" w:color="002B49"/>
          <w:right w:val="single" w:sz="4" w:space="0" w:color="002B49"/>
          <w:insideH w:val="single" w:sz="4" w:space="0" w:color="002B49"/>
          <w:insideV w:val="single" w:sz="4" w:space="0" w:color="002B49"/>
          <w:tl2br w:val="nil"/>
          <w:tr2bl w:val="nil"/>
        </w:tcBorders>
        <w:shd w:val="clear" w:color="auto" w:fill="002B49"/>
        <w:tcMar>
          <w:top w:w="57" w:type="dxa"/>
          <w:left w:w="45" w:type="dxa"/>
          <w:bottom w:w="57" w:type="dxa"/>
          <w:right w:w="0" w:type="nil"/>
        </w:tcMar>
      </w:tcPr>
    </w:tblStylePr>
    <w:tblStylePr w:type="la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/>
        <w:jc w:val="left"/>
        <w:outlineLvl w:val="9"/>
      </w:pPr>
      <w:rPr>
        <w:rFonts w:ascii="Arial" w:hAnsi="Arial"/>
        <w:i/>
        <w:iCs/>
        <w:sz w:val="18"/>
      </w:rPr>
      <w:tblPr/>
      <w:tcPr>
        <w:tcBorders>
          <w:tl2br w:val="none" w:sz="0" w:space="0" w:color="auto"/>
          <w:tr2bl w:val="none" w:sz="0" w:space="0" w:color="auto"/>
        </w:tcBorders>
        <w:tcMar>
          <w:top w:w="57" w:type="dxa"/>
          <w:left w:w="45" w:type="dxa"/>
          <w:bottom w:w="57" w:type="dxa"/>
          <w:right w:w="0" w:type="nil"/>
        </w:tcMar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="Arial" w:hAnsi="Arial"/>
        <w:b/>
        <w:i w:val="0"/>
        <w:color w:val="FFFFFF"/>
        <w:sz w:val="19"/>
      </w:rPr>
      <w:tblPr/>
      <w:tcPr>
        <w:shd w:val="clear" w:color="auto" w:fill="002B49"/>
        <w:tcMar>
          <w:top w:w="57" w:type="dxa"/>
          <w:left w:w="45" w:type="dxa"/>
          <w:bottom w:w="57" w:type="dxa"/>
          <w:right w:w="0" w:type="nil"/>
        </w:tcMar>
      </w:tcPr>
    </w:tblStylePr>
    <w:tblStylePr w:type="lastCol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</w:tblStylePr>
    <w:tblStylePr w:type="band2Vert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="Arial" w:hAnsi="Arial"/>
        <w:color w:val="auto"/>
        <w:sz w:val="18"/>
      </w:rPr>
      <w:tblPr/>
      <w:tcPr>
        <w:shd w:val="clear" w:color="auto" w:fill="F5F5EE"/>
        <w:vAlign w:val="top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/>
        <w:contextualSpacing/>
        <w:mirrorIndents/>
        <w:jc w:val="left"/>
        <w:outlineLvl w:val="9"/>
      </w:pPr>
      <w:rPr>
        <w:rFonts w:ascii="Arial" w:hAnsi="Arial"/>
        <w:color w:val="auto"/>
        <w:sz w:val="18"/>
      </w:rPr>
      <w:tblPr/>
      <w:tcPr>
        <w:shd w:val="clear" w:color="auto" w:fill="D7E1EF"/>
      </w:tcPr>
    </w:tblStylePr>
    <w:tblStylePr w:type="neCell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</w:pPr>
    </w:tblStylePr>
    <w:tblStylePr w:type="seCell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connection.feedback@ea.govt.n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9FE225EBB004AC48CE23E23C3006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A9B9B-16D6-45B3-BB04-D30C7ABAB107}"/>
      </w:docPartPr>
      <w:docPartBody>
        <w:p w:rsidR="007A7312" w:rsidRDefault="00F842E9" w:rsidP="00F842E9">
          <w:pPr>
            <w:pStyle w:val="29FE225EBB004AC48CE23E23C3006E1B"/>
          </w:pPr>
          <w:r w:rsidRPr="006F33C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E9"/>
    <w:rsid w:val="00005181"/>
    <w:rsid w:val="005142F6"/>
    <w:rsid w:val="0072548F"/>
    <w:rsid w:val="007A7312"/>
    <w:rsid w:val="008F683C"/>
    <w:rsid w:val="00CF2B1E"/>
    <w:rsid w:val="00F8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42E9"/>
    <w:rPr>
      <w:color w:val="666666"/>
    </w:rPr>
  </w:style>
  <w:style w:type="paragraph" w:customStyle="1" w:styleId="29FE225EBB004AC48CE23E23C3006E1B">
    <w:name w:val="29FE225EBB004AC48CE23E23C3006E1B"/>
    <w:rsid w:val="00F842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AFCB9F55AE8498ECB0363E15149AB" ma:contentTypeVersion="31" ma:contentTypeDescription="Create a new document." ma:contentTypeScope="" ma:versionID="5430bec9b7e4e5f01eccfb44df79b24c">
  <xsd:schema xmlns:xsd="http://www.w3.org/2001/XMLSchema" xmlns:xs="http://www.w3.org/2001/XMLSchema" xmlns:p="http://schemas.microsoft.com/office/2006/metadata/properties" xmlns:ns1="http://schemas.microsoft.com/sharepoint/v3" xmlns:ns2="9a348ff4-37a4-4c9d-a731-0759d01652e4" xmlns:ns3="7c8e780d-c576-414f-8c1f-f0887d0584f2" targetNamespace="http://schemas.microsoft.com/office/2006/metadata/properties" ma:root="true" ma:fieldsID="83b16843bf03fd1c963c1a291e837460" ns1:_="" ns2:_="" ns3:_="">
    <xsd:import namespace="http://schemas.microsoft.com/sharepoint/v3"/>
    <xsd:import namespace="9a348ff4-37a4-4c9d-a731-0759d01652e4"/>
    <xsd:import namespace="7c8e780d-c576-414f-8c1f-f0887d0584f2"/>
    <xsd:element name="properties">
      <xsd:complexType>
        <xsd:sequence>
          <xsd:element name="documentManagement">
            <xsd:complexType>
              <xsd:all>
                <xsd:element ref="ns2:h1736067b4e84050a5044872bc775d0c" minOccurs="0"/>
                <xsd:element ref="ns3:h1736067b4e84050a5044872bc775d0c" minOccurs="0"/>
                <xsd:element ref="ns2:TaxCatchAll" minOccurs="0"/>
                <xsd:element ref="ns2:o5bf2cb19629447f9a2359cc65ce1ab0" minOccurs="0"/>
                <xsd:element ref="ns3:o5bf2cb19629447f9a2359cc65ce1ab0" minOccurs="0"/>
                <xsd:element ref="ns3:MigratedFileID" minOccurs="0"/>
                <xsd:element ref="ns3:MigratedDocNum" minOccurs="0"/>
                <xsd:element ref="ns3:DLCPolicyLabelClientValue" minOccurs="0"/>
                <xsd:element ref="ns3:DLCPolicyLabelLock" minOccurs="0"/>
                <xsd:element ref="ns3:Sender" minOccurs="0"/>
                <xsd:element ref="ns3:CC" minOccurs="0"/>
                <xsd:element ref="ns3:To" minOccurs="0"/>
                <xsd:element ref="ns3:SentDate" minOccurs="0"/>
                <xsd:element ref="ns3:lcf76f155ced4ddcb4097134ff3c332f" minOccurs="0"/>
                <xsd:element ref="ns2:TaxCatchAllLabel" minOccurs="0"/>
                <xsd:element ref="ns1:_dlc_Exempt" minOccurs="0"/>
                <xsd:element ref="ns3:DLCPolicyLabelValue" minOccurs="0"/>
                <xsd:element ref="ns3:_dlc_DocId" minOccurs="0"/>
                <xsd:element ref="ns3:_dlc_DocIdUrl" minOccurs="0"/>
                <xsd:element ref="ns3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2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48ff4-37a4-4c9d-a731-0759d01652e4" elementFormDefault="qualified">
    <xsd:import namespace="http://schemas.microsoft.com/office/2006/documentManagement/types"/>
    <xsd:import namespace="http://schemas.microsoft.com/office/infopath/2007/PartnerControls"/>
    <xsd:element name="h1736067b4e84050a5044872bc775d0c" ma:index="8" nillable="true" ma:displayName="EAActivity_0" ma:hidden="true" ma:internalName="h1736067b4e84050a5044872bc775d0c">
      <xsd:simpleType>
        <xsd:restriction base="dms:Note"/>
      </xsd:simpleType>
    </xsd:element>
    <xsd:element name="TaxCatchAll" ma:index="11" nillable="true" ma:displayName="Taxonomy Catch All Column" ma:hidden="true" ma:list="{7bbab182-37b1-4377-ba0a-3cf9e07f4b7b}" ma:internalName="TaxCatchAll" ma:showField="CatchAllData" ma:web="679e0c4e-726b-4814-a29c-20a7a6456c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5bf2cb19629447f9a2359cc65ce1ab0" ma:index="12" nillable="true" ma:displayName="EACode_0" ma:hidden="true" ma:internalName="o5bf2cb19629447f9a2359cc65ce1ab0">
      <xsd:simpleType>
        <xsd:restriction base="dms:Note"/>
      </xsd:simpleType>
    </xsd:element>
    <xsd:element name="TaxCatchAllLabel" ma:index="26" nillable="true" ma:displayName="Taxonomy Catch All Column1" ma:hidden="true" ma:list="{7bbab182-37b1-4377-ba0a-3cf9e07f4b7b}" ma:internalName="TaxCatchAllLabel" ma:readOnly="true" ma:showField="CatchAllDataLabel" ma:web="679e0c4e-726b-4814-a29c-20a7a6456c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e780d-c576-414f-8c1f-f0887d0584f2" elementFormDefault="qualified">
    <xsd:import namespace="http://schemas.microsoft.com/office/2006/documentManagement/types"/>
    <xsd:import namespace="http://schemas.microsoft.com/office/infopath/2007/PartnerControls"/>
    <xsd:element name="h1736067b4e84050a5044872bc775d0c" ma:index="10" nillable="true" ma:taxonomy="true" ma:internalName="h1736067b4e84050a5044872bc775d0c0" ma:taxonomyFieldName="EAActivity" ma:displayName="Activity" ma:indexed="true" ma:default="1;#Network Policy|0c71deee-d191-4214-a5d2-005a1e2da12f" ma:fieldId="{11736067-b4e8-4050-a504-4872bc775d0c}" ma:sspId="fc1b479d-2f4c-4731-ac2b-718bffb3d6e1" ma:termSetId="43bfb9e8-4c58-460a-98dc-99780ffc63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5bf2cb19629447f9a2359cc65ce1ab0" ma:index="14" nillable="true" ma:taxonomy="true" ma:internalName="o5bf2cb19629447f9a2359cc65ce1ab00" ma:taxonomyFieldName="EACode" ma:displayName="Code" ma:indexed="true" ma:default="3;#Projects|9934e0e0-cf4d-4657-9294-7be4234b1d3d" ma:fieldId="{85bf2cb1-9629-447f-9a23-59cc65ce1ab0}" ma:sspId="fc1b479d-2f4c-4731-ac2b-718bffb3d6e1" ma:termSetId="2cc69e05-bc7b-4240-98a2-9f04b70ee4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igratedFileID" ma:index="15" nillable="true" ma:displayName="iM File ID" ma:indexed="true" ma:internalName="MigratedFileID">
      <xsd:simpleType>
        <xsd:restriction base="dms:Text">
          <xsd:maxLength value="15"/>
        </xsd:restriction>
      </xsd:simpleType>
    </xsd:element>
    <xsd:element name="MigratedDocNum" ma:index="16" nillable="true" ma:displayName="iM Document Number" ma:decimals="1" ma:description="The document number of this document as migrated from iManage" ma:indexed="true" ma:internalName="MigratedDocNum" ma:percentage="FALSE">
      <xsd:simpleType>
        <xsd:restriction base="dms:Number"/>
      </xsd:simpleType>
    </xsd:element>
    <xsd:element name="DLCPolicyLabelClientValue" ma:index="17" nillable="true" ma:displayName="Client Label Value" ma:description="Stores the last label value computed on the client." ma:hidden="true" ma:internalName="DLCPolicyLabelClientValue" ma:readOnly="false">
      <xsd:simpleType>
        <xsd:restriction base="dms:Note"/>
      </xsd:simpleType>
    </xsd:element>
    <xsd:element name="DLCPolicyLabelLock" ma:index="18" nillable="true" ma:displayName="Label Locked" ma:description="Indicates whether the label should be updated when item properties are modified." ma:hidden="true" ma:internalName="DLCPolicyLabelLock" ma:readOnly="false">
      <xsd:simpleType>
        <xsd:restriction base="dms:Text"/>
      </xsd:simpleType>
    </xsd:element>
    <xsd:element name="Sender" ma:index="20" nillable="true" ma:displayName="Sender" ma:default="" ma:internalName="Sender">
      <xsd:simpleType>
        <xsd:restriction base="dms:Text">
          <xsd:maxLength value="255"/>
        </xsd:restriction>
      </xsd:simpleType>
    </xsd:element>
    <xsd:element name="CC" ma:index="21" nillable="true" ma:displayName="CC/BCC" ma:internalName="CC">
      <xsd:simpleType>
        <xsd:restriction base="dms:Text">
          <xsd:maxLength value="255"/>
        </xsd:restriction>
      </xsd:simpleType>
    </xsd:element>
    <xsd:element name="To" ma:index="22" nillable="true" ma:displayName="To" ma:default="" ma:internalName="To">
      <xsd:simpleType>
        <xsd:restriction base="dms:Text">
          <xsd:maxLength value="255"/>
        </xsd:restriction>
      </xsd:simpleType>
    </xsd:element>
    <xsd:element name="SentDate" ma:index="23" nillable="true" ma:displayName="Received Date" ma:format="DateTime" ma:internalName="SentDate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c1b479d-2f4c-4731-ac2b-718bffb3d6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LCPolicyLabelValue" ma:index="28" nillable="true" ma:displayName="Label" ma:description="Stores the current value of the label." ma:internalName="DLCPolicyLabelValue" ma:readOnly="true">
      <xsd:simpleType>
        <xsd:restriction base="dms:Note">
          <xsd:maxLength value="255"/>
        </xsd:restriction>
      </xsd:simpleType>
    </xsd:element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9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LCPolicyLabelClientValue xmlns="7c8e780d-c576-414f-8c1f-f0887d0584f2" xsi:nil="true"/>
    <To xmlns="7c8e780d-c576-414f-8c1f-f0887d0584f2" xsi:nil="true"/>
    <DLCPolicyLabelLock xmlns="7c8e780d-c576-414f-8c1f-f0887d0584f2" xsi:nil="true"/>
    <h1736067b4e84050a5044872bc775d0c xmlns="9a348ff4-37a4-4c9d-a731-0759d01652e4" xsi:nil="true"/>
    <TaxCatchAll xmlns="9a348ff4-37a4-4c9d-a731-0759d01652e4">
      <Value>1</Value>
      <Value>3</Value>
    </TaxCatchAll>
    <CC xmlns="7c8e780d-c576-414f-8c1f-f0887d0584f2" xsi:nil="true"/>
    <lcf76f155ced4ddcb4097134ff3c332f xmlns="7c8e780d-c576-414f-8c1f-f0887d0584f2">
      <Terms xmlns="http://schemas.microsoft.com/office/infopath/2007/PartnerControls"/>
    </lcf76f155ced4ddcb4097134ff3c332f>
    <SentDate xmlns="7c8e780d-c576-414f-8c1f-f0887d0584f2" xsi:nil="true"/>
    <MigratedDocNum xmlns="7c8e780d-c576-414f-8c1f-f0887d0584f2" xsi:nil="true"/>
    <Sender xmlns="7c8e780d-c576-414f-8c1f-f0887d0584f2" xsi:nil="true"/>
    <h1736067b4e84050a5044872bc775d0c xmlns="7c8e780d-c576-414f-8c1f-f0887d0584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Network Policy</TermName>
          <TermId xmlns="http://schemas.microsoft.com/office/infopath/2007/PartnerControls">0c71deee-d191-4214-a5d2-005a1e2da12f</TermId>
        </TermInfo>
      </Terms>
    </h1736067b4e84050a5044872bc775d0c>
    <o5bf2cb19629447f9a2359cc65ce1ab0 xmlns="7c8e780d-c576-414f-8c1f-f0887d0584f2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Projects</TermName>
          <TermId xmlns="http://schemas.microsoft.com/office/infopath/2007/PartnerControls">9934e0e0-cf4d-4657-9294-7be4234b1d3d</TermId>
        </TermInfo>
      </Terms>
    </o5bf2cb19629447f9a2359cc65ce1ab0>
    <o5bf2cb19629447f9a2359cc65ce1ab0 xmlns="9a348ff4-37a4-4c9d-a731-0759d01652e4" xsi:nil="true"/>
    <MigratedFileID xmlns="7c8e780d-c576-414f-8c1f-f0887d0584f2" xsi:nil="true"/>
    <_dlc_DocId xmlns="7c8e780d-c576-414f-8c1f-f0887d0584f2">NWKPOL-521055248-2711</_dlc_DocId>
    <_dlc_DocIdUrl xmlns="7c8e780d-c576-414f-8c1f-f0887d0584f2">
      <Url>https://electricityauthority.sharepoint.com/sites/nwkpol/_layouts/15/DocIdRedir.aspx?ID=NWKPOL-521055248-2711</Url>
      <Description>NWKPOL-521055248-2711</Description>
    </_dlc_DocIdUrl>
  </documentManagement>
</p:properties>
</file>

<file path=customXml/itemProps1.xml><?xml version="1.0" encoding="utf-8"?>
<ds:datastoreItem xmlns:ds="http://schemas.openxmlformats.org/officeDocument/2006/customXml" ds:itemID="{4CB197C4-EAC6-4DFE-83B5-A2C3D764C6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E15D5-F528-4A4A-A6EE-A969B3300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348ff4-37a4-4c9d-a731-0759d01652e4"/>
    <ds:schemaRef ds:uri="7c8e780d-c576-414f-8c1f-f0887d0584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4CDCCC-C1E5-4980-9101-5A64D140643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33662E-4F01-437D-B604-635AC63E6E74}">
  <ds:schemaRefs>
    <ds:schemaRef ds:uri="http://schemas.microsoft.com/office/2006/metadata/properties"/>
    <ds:schemaRef ds:uri="http://schemas.microsoft.com/office/infopath/2007/PartnerControls"/>
    <ds:schemaRef ds:uri="7c8e780d-c576-414f-8c1f-f0887d0584f2"/>
    <ds:schemaRef ds:uri="9a348ff4-37a4-4c9d-a731-0759d01652e4"/>
  </ds:schemaRefs>
</ds:datastoreItem>
</file>

<file path=docMetadata/LabelInfo.xml><?xml version="1.0" encoding="utf-8"?>
<clbl:labelList xmlns:clbl="http://schemas.microsoft.com/office/2020/mipLabelMetadata">
  <clbl:label id="{114d662c-557e-43a0-9ef4-ea4730eb3732}" enabled="1" method="Privileged" siteId="{01ce6efc-7935-414f-b831-2b1d356f92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662</Words>
  <Characters>3575</Characters>
  <Application>Microsoft Office Word</Application>
  <DocSecurity>0</DocSecurity>
  <Lines>148</Lines>
  <Paragraphs>43</Paragraphs>
  <ScaleCrop>false</ScaleCrop>
  <Company>Electricity Authority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Zielinski</dc:creator>
  <cp:keywords/>
  <dc:description/>
  <cp:lastModifiedBy>Beth Lloyd</cp:lastModifiedBy>
  <cp:revision>2</cp:revision>
  <dcterms:created xsi:type="dcterms:W3CDTF">2026-09-07T03:41:00Z</dcterms:created>
  <dcterms:modified xsi:type="dcterms:W3CDTF">2026-09-07T03:41:00Z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0x010100296AFCB9F55AE8498ECB0363E15149AB</vt:lpwstr>
  </property>
  <property fmtid="{D5CDD505-2E9C-101B-9397-08002B2CF9AE}" pid="3" name="EACode">
    <vt:lpwstr>3;#Projects|9934e0e0-cf4d-4657-9294-7be4234b1d3d</vt:lpwstr>
  </property>
  <property fmtid="{D5CDD505-2E9C-101B-9397-08002B2CF9AE}" pid="4" name="MediaServiceImageTags">
    <vt:lpwstr/>
  </property>
  <property fmtid="{D5CDD505-2E9C-101B-9397-08002B2CF9AE}" pid="5" name="EAActivity">
    <vt:lpwstr>1;#Network Policy|0c71deee-d191-4214-a5d2-005a1e2da12f</vt:lpwstr>
  </property>
  <property fmtid="{D5CDD505-2E9C-101B-9397-08002B2CF9AE}" pid="6" name="_dlc_DocIdItemGuid">
    <vt:lpwstr>fc73df71-26de-4a05-9ad7-8420c6790579</vt:lpwstr>
  </property>
</Properties>
</file>