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F4785" w14:textId="4CD53030" w:rsidR="00BC7CCD" w:rsidRDefault="009A106B" w:rsidP="009A106B">
      <w:pPr>
        <w:pStyle w:val="Appendix1"/>
        <w:numPr>
          <w:ilvl w:val="0"/>
          <w:numId w:val="0"/>
        </w:numPr>
        <w:ind w:left="1814" w:hanging="1814"/>
      </w:pPr>
      <w:r>
        <w:t xml:space="preserve">Appendix D – Submission form </w:t>
      </w:r>
    </w:p>
    <w:p w14:paraId="3AC7885E" w14:textId="77777777" w:rsidR="00BC7CCD" w:rsidRPr="007E279A" w:rsidRDefault="00BC7CCD" w:rsidP="00BC7CCD">
      <w:pPr>
        <w:pStyle w:val="ExecSumm-Normal"/>
        <w:rPr>
          <w:rStyle w:val="Bold"/>
          <w:lang w:val="en-NZ"/>
        </w:rPr>
      </w:pPr>
      <w:r>
        <w:rPr>
          <w:rStyle w:val="Bold"/>
        </w:rPr>
        <w:t>Improving product and consumption information exchange – EIEP13C and EIEP1</w:t>
      </w:r>
    </w:p>
    <w:p w14:paraId="13C749D4" w14:textId="77777777" w:rsidR="00BC7CCD" w:rsidRDefault="00BC7CCD" w:rsidP="00BC7CCD">
      <w:pPr>
        <w:rPr>
          <w:rStyle w:val="Bold"/>
        </w:rPr>
      </w:pPr>
    </w:p>
    <w:p w14:paraId="5F680F06" w14:textId="4ECE92BF" w:rsidR="00BC7CCD" w:rsidRPr="0093652D" w:rsidRDefault="00BC7CCD" w:rsidP="00BC7CCD">
      <w:pPr>
        <w:pStyle w:val="ExecSumm-Normal"/>
        <w:rPr>
          <w:rStyle w:val="Normal-reset"/>
          <w:lang w:val="en-NZ"/>
        </w:rPr>
      </w:pPr>
      <w:r w:rsidRPr="00721049">
        <w:rPr>
          <w:rStyle w:val="Normal-reset"/>
          <w:lang w:val="en-NZ"/>
        </w:rPr>
        <w:t xml:space="preserve">Please email your submission to </w:t>
      </w:r>
      <w:hyperlink r:id="rId11" w:history="1">
        <w:r w:rsidRPr="008053DE">
          <w:rPr>
            <w:rStyle w:val="Hyperlink"/>
            <w:lang w:val="en-NZ"/>
          </w:rPr>
          <w:t>consumer.mobility@ea.govt.nz</w:t>
        </w:r>
      </w:hyperlink>
      <w:r>
        <w:rPr>
          <w:rStyle w:val="Normal-reset"/>
          <w:lang w:val="en-NZ"/>
        </w:rPr>
        <w:t xml:space="preserve"> </w:t>
      </w:r>
      <w:r w:rsidRPr="00721049">
        <w:rPr>
          <w:rStyle w:val="Normal-reset"/>
          <w:lang w:val="en-NZ"/>
        </w:rPr>
        <w:t xml:space="preserve">by 5pm, </w:t>
      </w:r>
      <w:sdt>
        <w:sdtPr>
          <w:rPr>
            <w:rStyle w:val="Normal-reset"/>
            <w:lang w:val="en-NZ"/>
          </w:rPr>
          <w:id w:val="-1527399558"/>
          <w:placeholder>
            <w:docPart w:val="E591630BB8E745468BACFA1B7FEEF93F"/>
          </w:placeholder>
          <w:date w:fullDate="2026-10-08T00:00:00Z">
            <w:dateFormat w:val="dddd d MMMM yyyy"/>
            <w:lid w:val="en-NZ"/>
            <w:storeMappedDataAs w:val="dateTime"/>
            <w:calendar w:val="gregorian"/>
          </w:date>
        </w:sdtPr>
        <w:sdtContent>
          <w:r>
            <w:rPr>
              <w:rStyle w:val="Normal-reset"/>
              <w:lang w:val="en-NZ"/>
            </w:rPr>
            <w:t>Thursday 8 October 2026</w:t>
          </w:r>
        </w:sdtContent>
      </w:sdt>
    </w:p>
    <w:tbl>
      <w:tblPr>
        <w:tblStyle w:val="EATable"/>
        <w:tblW w:w="0" w:type="auto"/>
        <w:tblInd w:w="-5" w:type="dxa"/>
        <w:tblLook w:val="0480" w:firstRow="0" w:lastRow="0" w:firstColumn="1" w:lastColumn="0" w:noHBand="0" w:noVBand="1"/>
      </w:tblPr>
      <w:tblGrid>
        <w:gridCol w:w="3768"/>
        <w:gridCol w:w="5253"/>
      </w:tblGrid>
      <w:tr w:rsidR="00BC7CCD" w14:paraId="4BDAEE82" w14:textId="77777777" w:rsidTr="00BC7CCD">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969" w:type="dxa"/>
          </w:tcPr>
          <w:p w14:paraId="36153E2F" w14:textId="77777777" w:rsidR="00BC7CCD" w:rsidRPr="007E6072" w:rsidRDefault="00BC7CCD" w:rsidP="00BC7CCD">
            <w:pPr>
              <w:pStyle w:val="TableHeader"/>
            </w:pPr>
            <w:r>
              <w:t>Name</w:t>
            </w:r>
          </w:p>
        </w:tc>
        <w:tc>
          <w:tcPr>
            <w:tcW w:w="5657" w:type="dxa"/>
            <w:shd w:val="clear" w:color="auto" w:fill="FFFFE7"/>
          </w:tcPr>
          <w:p w14:paraId="67FF6537" w14:textId="77777777" w:rsidR="00BC7CCD" w:rsidRPr="007E6072" w:rsidRDefault="00BC7CCD" w:rsidP="00BC7CCD">
            <w:pPr>
              <w:pStyle w:val="TableHeader"/>
              <w:cnfStyle w:val="000000100000" w:firstRow="0" w:lastRow="0" w:firstColumn="0" w:lastColumn="0" w:oddVBand="0" w:evenVBand="0" w:oddHBand="1" w:evenHBand="0" w:firstRowFirstColumn="0" w:firstRowLastColumn="0" w:lastRowFirstColumn="0" w:lastRowLastColumn="0"/>
            </w:pPr>
          </w:p>
        </w:tc>
      </w:tr>
      <w:tr w:rsidR="00BC7CCD" w14:paraId="165ECDB2" w14:textId="77777777" w:rsidTr="00BC7CCD">
        <w:trPr>
          <w:cnfStyle w:val="000000010000" w:firstRow="0" w:lastRow="0" w:firstColumn="0" w:lastColumn="0" w:oddVBand="0" w:evenVBand="0" w:oddHBand="0" w:evenHBand="1"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969" w:type="dxa"/>
          </w:tcPr>
          <w:p w14:paraId="28FCD0E9" w14:textId="77777777" w:rsidR="00BC7CCD" w:rsidRDefault="00BC7CCD" w:rsidP="00BC7CCD">
            <w:pPr>
              <w:pStyle w:val="TableHeader"/>
            </w:pPr>
            <w:r>
              <w:t>Organisation</w:t>
            </w:r>
          </w:p>
        </w:tc>
        <w:tc>
          <w:tcPr>
            <w:tcW w:w="5657" w:type="dxa"/>
            <w:shd w:val="clear" w:color="auto" w:fill="DAE9F7" w:themeFill="text2" w:themeFillTint="1A"/>
          </w:tcPr>
          <w:p w14:paraId="05E752C4" w14:textId="77777777" w:rsidR="00BC7CCD" w:rsidRPr="007E6072" w:rsidRDefault="00BC7CCD" w:rsidP="00BC7CCD">
            <w:pPr>
              <w:pStyle w:val="TableHeader"/>
              <w:cnfStyle w:val="000000010000" w:firstRow="0" w:lastRow="0" w:firstColumn="0" w:lastColumn="0" w:oddVBand="0" w:evenVBand="0" w:oddHBand="0" w:evenHBand="1" w:firstRowFirstColumn="0" w:firstRowLastColumn="0" w:lastRowFirstColumn="0" w:lastRowLastColumn="0"/>
            </w:pPr>
          </w:p>
        </w:tc>
      </w:tr>
    </w:tbl>
    <w:p w14:paraId="4E05EABF" w14:textId="77777777" w:rsidR="00BC7CCD" w:rsidRPr="007E6072" w:rsidRDefault="00BC7CCD" w:rsidP="00BC7CCD"/>
    <w:tbl>
      <w:tblPr>
        <w:tblStyle w:val="EATable"/>
        <w:tblW w:w="0" w:type="auto"/>
        <w:tblInd w:w="0" w:type="dxa"/>
        <w:tblCellMar>
          <w:top w:w="0" w:type="dxa"/>
          <w:left w:w="0" w:type="dxa"/>
          <w:bottom w:w="0" w:type="dxa"/>
          <w:right w:w="0" w:type="dxa"/>
        </w:tblCellMar>
        <w:tblLook w:val="04A0" w:firstRow="1" w:lastRow="0" w:firstColumn="1" w:lastColumn="0" w:noHBand="0" w:noVBand="1"/>
      </w:tblPr>
      <w:tblGrid>
        <w:gridCol w:w="3753"/>
        <w:gridCol w:w="5253"/>
      </w:tblGrid>
      <w:tr w:rsidR="00BC7CCD" w14:paraId="1DA838F5" w14:textId="77777777" w:rsidTr="007565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single" w:sz="8" w:space="0" w:color="002B49"/>
              <w:left w:val="single" w:sz="8" w:space="0" w:color="002B49"/>
              <w:bottom w:val="single" w:sz="8" w:space="0" w:color="002B49"/>
              <w:right w:val="single" w:sz="8" w:space="0" w:color="002B49"/>
            </w:tcBorders>
            <w:tcMar>
              <w:right w:w="28" w:type="dxa"/>
            </w:tcMar>
            <w:hideMark/>
          </w:tcPr>
          <w:p w14:paraId="540B8D5C" w14:textId="77777777" w:rsidR="00BC7CCD" w:rsidRDefault="00BC7CCD" w:rsidP="0075659D">
            <w:pPr>
              <w:pStyle w:val="TableHeader"/>
              <w:rPr>
                <w:color w:val="FFFFFF"/>
                <w:kern w:val="2"/>
              </w:rPr>
            </w:pPr>
            <w:r>
              <w:t>Questions</w:t>
            </w:r>
          </w:p>
        </w:tc>
        <w:tc>
          <w:tcPr>
            <w:tcW w:w="5652" w:type="dxa"/>
            <w:tcBorders>
              <w:top w:val="single" w:sz="8" w:space="0" w:color="002B49"/>
              <w:left w:val="nil"/>
              <w:bottom w:val="single" w:sz="8" w:space="0" w:color="002B49"/>
              <w:right w:val="single" w:sz="8" w:space="0" w:color="002B49"/>
            </w:tcBorders>
            <w:tcMar>
              <w:right w:w="28" w:type="dxa"/>
            </w:tcMar>
            <w:hideMark/>
          </w:tcPr>
          <w:p w14:paraId="5A3AD272" w14:textId="77777777" w:rsidR="00BC7CCD" w:rsidRDefault="00BC7CCD" w:rsidP="0075659D">
            <w:pPr>
              <w:pStyle w:val="TableHeader"/>
              <w:cnfStyle w:val="100000000000" w:firstRow="1" w:lastRow="0" w:firstColumn="0" w:lastColumn="0" w:oddVBand="0" w:evenVBand="0" w:oddHBand="0" w:evenHBand="0" w:firstRowFirstColumn="0" w:firstRowLastColumn="0" w:lastRowFirstColumn="0" w:lastRowLastColumn="0"/>
            </w:pPr>
            <w:r>
              <w:t>Comments</w:t>
            </w:r>
          </w:p>
        </w:tc>
      </w:tr>
      <w:tr w:rsidR="00BC7CCD" w14:paraId="0692E110"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599DC4CD" w14:textId="77777777" w:rsidR="00BC7CCD" w:rsidRDefault="00BC7CCD" w:rsidP="0075659D">
            <w:pPr>
              <w:pStyle w:val="TableText"/>
            </w:pPr>
            <w:r>
              <w:t>Q1. Do you agree with the proposed changes/updates to EIEP13C? If not, what would you change?</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1493D659" w14:textId="77777777" w:rsidR="00BC7CCD" w:rsidRDefault="00BC7CCD" w:rsidP="0075659D">
            <w:pPr>
              <w:pStyle w:val="TableText"/>
              <w:cnfStyle w:val="000000100000" w:firstRow="0" w:lastRow="0" w:firstColumn="0" w:lastColumn="0" w:oddVBand="0" w:evenVBand="0" w:oddHBand="1" w:evenHBand="0" w:firstRowFirstColumn="0" w:firstRowLastColumn="0" w:lastRowFirstColumn="0" w:lastRowLastColumn="0"/>
            </w:pPr>
          </w:p>
        </w:tc>
      </w:tr>
      <w:tr w:rsidR="00BC7CCD" w14:paraId="5E376EF9"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4BD0D64A" w14:textId="77777777" w:rsidR="00BC7CCD" w:rsidRDefault="00BC7CCD" w:rsidP="0075659D">
            <w:pPr>
              <w:pStyle w:val="TableText"/>
            </w:pPr>
            <w:r>
              <w:t>Q2. Do you agree with these changes also being reflected in the proposed EIEP14C where indicated? If not, what would you change?</w:t>
            </w:r>
          </w:p>
        </w:tc>
        <w:tc>
          <w:tcPr>
            <w:tcW w:w="5652" w:type="dxa"/>
            <w:tcBorders>
              <w:top w:val="nil"/>
              <w:left w:val="nil"/>
              <w:bottom w:val="single" w:sz="8" w:space="0" w:color="002B49"/>
              <w:right w:val="single" w:sz="8" w:space="0" w:color="002B49"/>
            </w:tcBorders>
            <w:shd w:val="clear" w:color="auto" w:fill="D7E1EF"/>
            <w:tcMar>
              <w:right w:w="28" w:type="dxa"/>
            </w:tcMar>
            <w:hideMark/>
          </w:tcPr>
          <w:p w14:paraId="25B9A68E" w14:textId="77777777" w:rsidR="00BC7CCD" w:rsidRDefault="00BC7CCD" w:rsidP="0075659D">
            <w:pPr>
              <w:pStyle w:val="TableText"/>
              <w:cnfStyle w:val="000000010000" w:firstRow="0" w:lastRow="0" w:firstColumn="0" w:lastColumn="0" w:oddVBand="0" w:evenVBand="0" w:oddHBand="0" w:evenHBand="1" w:firstRowFirstColumn="0" w:firstRowLastColumn="0" w:lastRowFirstColumn="0" w:lastRowLastColumn="0"/>
            </w:pPr>
          </w:p>
        </w:tc>
      </w:tr>
      <w:tr w:rsidR="00BC7CCD" w14:paraId="5B5CAF83"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0FA93B0C" w14:textId="77777777" w:rsidR="00BC7CCD" w:rsidRDefault="00BC7CCD" w:rsidP="0075659D">
            <w:pPr>
              <w:pStyle w:val="TableText"/>
            </w:pPr>
            <w:r>
              <w:t>Q3. Do you agree with our proposal for EIEP14C to only request EIEP14B files? If not, do you think that adding the capability for EIEP14C to also request EIEP14A files would be worth the complication of the file format?</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6A4B071C" w14:textId="77777777" w:rsidR="00BC7CCD" w:rsidRDefault="00BC7CCD" w:rsidP="0075659D">
            <w:pPr>
              <w:pStyle w:val="TableText"/>
              <w:cnfStyle w:val="000000100000" w:firstRow="0" w:lastRow="0" w:firstColumn="0" w:lastColumn="0" w:oddVBand="0" w:evenVBand="0" w:oddHBand="1" w:evenHBand="0" w:firstRowFirstColumn="0" w:firstRowLastColumn="0" w:lastRowFirstColumn="0" w:lastRowLastColumn="0"/>
            </w:pPr>
          </w:p>
        </w:tc>
      </w:tr>
      <w:tr w:rsidR="00BC7CCD" w14:paraId="46E9F8F7"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0DC6157A" w14:textId="77777777" w:rsidR="00BC7CCD" w:rsidRDefault="00BC7CCD" w:rsidP="0075659D">
            <w:pPr>
              <w:pStyle w:val="TableText"/>
            </w:pPr>
            <w:r>
              <w:t>Q4. Do you agree with our proposal not to include an automatic electronic authorisation consent system within the EIEP14 suite?</w:t>
            </w:r>
          </w:p>
        </w:tc>
        <w:tc>
          <w:tcPr>
            <w:tcW w:w="5652" w:type="dxa"/>
            <w:tcBorders>
              <w:top w:val="nil"/>
              <w:left w:val="nil"/>
              <w:bottom w:val="single" w:sz="8" w:space="0" w:color="002B49"/>
              <w:right w:val="single" w:sz="8" w:space="0" w:color="002B49"/>
            </w:tcBorders>
            <w:shd w:val="clear" w:color="auto" w:fill="D7E1EF"/>
            <w:tcMar>
              <w:right w:w="28" w:type="dxa"/>
            </w:tcMar>
            <w:hideMark/>
          </w:tcPr>
          <w:p w14:paraId="0332977B" w14:textId="77777777" w:rsidR="00BC7CCD" w:rsidRDefault="00BC7CCD" w:rsidP="0075659D">
            <w:pPr>
              <w:pStyle w:val="TableText"/>
              <w:cnfStyle w:val="000000010000" w:firstRow="0" w:lastRow="0" w:firstColumn="0" w:lastColumn="0" w:oddVBand="0" w:evenVBand="0" w:oddHBand="0" w:evenHBand="1" w:firstRowFirstColumn="0" w:firstRowLastColumn="0" w:lastRowFirstColumn="0" w:lastRowLastColumn="0"/>
            </w:pPr>
          </w:p>
        </w:tc>
      </w:tr>
      <w:tr w:rsidR="00BC7CCD" w14:paraId="66132257"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1900E6D0" w14:textId="77777777" w:rsidR="00BC7CCD" w:rsidRDefault="00BC7CCD" w:rsidP="0075659D">
            <w:pPr>
              <w:pStyle w:val="TableText"/>
            </w:pPr>
            <w:r>
              <w:t>Q5. Do you agree with our proposal to use a customer authorisation code within the EIEP14C file as the mechanism to indicate customer consent? If not, why not?</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52A38431" w14:textId="77777777" w:rsidR="00BC7CCD" w:rsidRDefault="00BC7CCD" w:rsidP="0075659D">
            <w:pPr>
              <w:pStyle w:val="TableText"/>
              <w:cnfStyle w:val="000000100000" w:firstRow="0" w:lastRow="0" w:firstColumn="0" w:lastColumn="0" w:oddVBand="0" w:evenVBand="0" w:oddHBand="1" w:evenHBand="0" w:firstRowFirstColumn="0" w:firstRowLastColumn="0" w:lastRowFirstColumn="0" w:lastRowLastColumn="0"/>
            </w:pPr>
          </w:p>
        </w:tc>
      </w:tr>
      <w:tr w:rsidR="00BC7CCD" w14:paraId="6F034EE1"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07195BF2" w14:textId="77777777" w:rsidR="00BC7CCD" w:rsidRDefault="00BC7CCD" w:rsidP="0075659D">
            <w:pPr>
              <w:pStyle w:val="TableText"/>
            </w:pPr>
            <w:r>
              <w:t>Q6. Should the authorisation code and statement of written authority be common between EIEP13s and EIEP14s? If so, should this be made explicit within the C formats?</w:t>
            </w:r>
          </w:p>
        </w:tc>
        <w:tc>
          <w:tcPr>
            <w:tcW w:w="5652" w:type="dxa"/>
            <w:tcBorders>
              <w:top w:val="nil"/>
              <w:left w:val="nil"/>
              <w:bottom w:val="single" w:sz="8" w:space="0" w:color="002B49"/>
              <w:right w:val="single" w:sz="8" w:space="0" w:color="002B49"/>
            </w:tcBorders>
            <w:shd w:val="clear" w:color="auto" w:fill="D7E1EF"/>
            <w:tcMar>
              <w:right w:w="28" w:type="dxa"/>
            </w:tcMar>
            <w:hideMark/>
          </w:tcPr>
          <w:p w14:paraId="72E8FB73" w14:textId="77777777" w:rsidR="00BC7CCD" w:rsidRDefault="00BC7CCD" w:rsidP="0075659D">
            <w:pPr>
              <w:pStyle w:val="TableText"/>
              <w:cnfStyle w:val="000000010000" w:firstRow="0" w:lastRow="0" w:firstColumn="0" w:lastColumn="0" w:oddVBand="0" w:evenVBand="0" w:oddHBand="0" w:evenHBand="1" w:firstRowFirstColumn="0" w:firstRowLastColumn="0" w:lastRowFirstColumn="0" w:lastRowLastColumn="0"/>
            </w:pPr>
          </w:p>
        </w:tc>
      </w:tr>
      <w:tr w:rsidR="00BC7CCD" w14:paraId="48ECCE69"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6CF6015A" w14:textId="77777777" w:rsidR="00BC7CCD" w:rsidRDefault="00BC7CCD" w:rsidP="0075659D">
            <w:pPr>
              <w:pStyle w:val="TableText"/>
            </w:pPr>
            <w:r>
              <w:t>Q7. Do you agree with our proposal for EIEP14C to support both JSON and CSV formats? If not, why not?</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349EBE06" w14:textId="77777777" w:rsidR="00BC7CCD" w:rsidRDefault="00BC7CCD" w:rsidP="0075659D">
            <w:pPr>
              <w:pStyle w:val="TableText"/>
              <w:cnfStyle w:val="000000100000" w:firstRow="0" w:lastRow="0" w:firstColumn="0" w:lastColumn="0" w:oddVBand="0" w:evenVBand="0" w:oddHBand="1" w:evenHBand="0" w:firstRowFirstColumn="0" w:firstRowLastColumn="0" w:lastRowFirstColumn="0" w:lastRowLastColumn="0"/>
            </w:pPr>
          </w:p>
        </w:tc>
      </w:tr>
      <w:tr w:rsidR="00BC7CCD" w14:paraId="21031869"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3FB77101" w14:textId="77777777" w:rsidR="00BC7CCD" w:rsidRDefault="00BC7CCD" w:rsidP="0075659D">
            <w:pPr>
              <w:pStyle w:val="TableText"/>
            </w:pPr>
            <w:r>
              <w:t>Q8. What is the sector readiness to adopt JSON as the default file format for EIEP14C files? If your organisation does not currently support JSON, when might this be feasible?</w:t>
            </w:r>
          </w:p>
        </w:tc>
        <w:tc>
          <w:tcPr>
            <w:tcW w:w="5652" w:type="dxa"/>
            <w:tcBorders>
              <w:top w:val="nil"/>
              <w:left w:val="nil"/>
              <w:bottom w:val="single" w:sz="8" w:space="0" w:color="002B49"/>
              <w:right w:val="single" w:sz="8" w:space="0" w:color="002B49"/>
            </w:tcBorders>
            <w:shd w:val="clear" w:color="auto" w:fill="D7E1EF"/>
            <w:tcMar>
              <w:right w:w="28" w:type="dxa"/>
            </w:tcMar>
            <w:hideMark/>
          </w:tcPr>
          <w:p w14:paraId="7B770B8D" w14:textId="77777777" w:rsidR="00BC7CCD" w:rsidRDefault="00BC7CCD" w:rsidP="0075659D">
            <w:pPr>
              <w:pStyle w:val="TableText"/>
              <w:cnfStyle w:val="000000010000" w:firstRow="0" w:lastRow="0" w:firstColumn="0" w:lastColumn="0" w:oddVBand="0" w:evenVBand="0" w:oddHBand="0" w:evenHBand="1" w:firstRowFirstColumn="0" w:firstRowLastColumn="0" w:lastRowFirstColumn="0" w:lastRowLastColumn="0"/>
            </w:pPr>
          </w:p>
        </w:tc>
      </w:tr>
      <w:tr w:rsidR="00BC7CCD" w14:paraId="61838008"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0ECC351C" w14:textId="77777777" w:rsidR="00BC7CCD" w:rsidRDefault="00BC7CCD" w:rsidP="0075659D">
            <w:pPr>
              <w:pStyle w:val="TableText"/>
            </w:pPr>
            <w:r>
              <w:t>Q9. Should a field be included in EIEP14C to allow nomination of either JSON or CSV file formats? Is there value in allowing requestors to specify the expected response format, noting that CSV has been nominated as the default format?</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4B1E3928" w14:textId="77777777" w:rsidR="00BC7CCD" w:rsidRDefault="00BC7CCD" w:rsidP="0075659D">
            <w:pPr>
              <w:pStyle w:val="TableText"/>
              <w:cnfStyle w:val="000000100000" w:firstRow="0" w:lastRow="0" w:firstColumn="0" w:lastColumn="0" w:oddVBand="0" w:evenVBand="0" w:oddHBand="1" w:evenHBand="0" w:firstRowFirstColumn="0" w:firstRowLastColumn="0" w:lastRowFirstColumn="0" w:lastRowLastColumn="0"/>
            </w:pPr>
          </w:p>
        </w:tc>
      </w:tr>
      <w:tr w:rsidR="00BC7CCD" w14:paraId="326E725D"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0CD39E35" w14:textId="77777777" w:rsidR="00BC7CCD" w:rsidRDefault="00BC7CCD" w:rsidP="0075659D">
            <w:pPr>
              <w:pStyle w:val="TableText"/>
            </w:pPr>
            <w:r>
              <w:lastRenderedPageBreak/>
              <w:t>Q10. Would aligning data standards for requests for consumption and product information reduce development costs, or are the bulk of the costs associated with the implementation of JSON data formats and real-time authentication processes?</w:t>
            </w:r>
          </w:p>
        </w:tc>
        <w:tc>
          <w:tcPr>
            <w:tcW w:w="5652" w:type="dxa"/>
            <w:tcBorders>
              <w:top w:val="nil"/>
              <w:left w:val="nil"/>
              <w:bottom w:val="single" w:sz="8" w:space="0" w:color="002B49"/>
              <w:right w:val="single" w:sz="8" w:space="0" w:color="002B49"/>
            </w:tcBorders>
            <w:shd w:val="clear" w:color="auto" w:fill="D7E1EF"/>
            <w:tcMar>
              <w:right w:w="28" w:type="dxa"/>
            </w:tcMar>
            <w:hideMark/>
          </w:tcPr>
          <w:p w14:paraId="2D690EED" w14:textId="77777777" w:rsidR="00BC7CCD" w:rsidRDefault="00BC7CCD" w:rsidP="0075659D">
            <w:pPr>
              <w:pStyle w:val="TableText"/>
              <w:cnfStyle w:val="000000010000" w:firstRow="0" w:lastRow="0" w:firstColumn="0" w:lastColumn="0" w:oddVBand="0" w:evenVBand="0" w:oddHBand="0" w:evenHBand="1" w:firstRowFirstColumn="0" w:firstRowLastColumn="0" w:lastRowFirstColumn="0" w:lastRowLastColumn="0"/>
            </w:pPr>
          </w:p>
        </w:tc>
      </w:tr>
      <w:tr w:rsidR="00BC7CCD" w14:paraId="26766B08"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52263293" w14:textId="77777777" w:rsidR="00BC7CCD" w:rsidRDefault="00BC7CCD" w:rsidP="0075659D">
            <w:pPr>
              <w:pStyle w:val="TableText"/>
            </w:pPr>
            <w:r>
              <w:t>Q11. Do you foresee any issues with the proposed requirement for retailers to treat consumer requests for their plan information as if they were EIEP14C requests for EIEP14B files?</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1E6F149C" w14:textId="77777777" w:rsidR="00BC7CCD" w:rsidRDefault="00BC7CCD" w:rsidP="0075659D">
            <w:pPr>
              <w:pStyle w:val="TableText"/>
              <w:cnfStyle w:val="000000100000" w:firstRow="0" w:lastRow="0" w:firstColumn="0" w:lastColumn="0" w:oddVBand="0" w:evenVBand="0" w:oddHBand="1" w:evenHBand="0" w:firstRowFirstColumn="0" w:firstRowLastColumn="0" w:lastRowFirstColumn="0" w:lastRowLastColumn="0"/>
            </w:pPr>
          </w:p>
        </w:tc>
      </w:tr>
      <w:tr w:rsidR="00BC7CCD" w14:paraId="39CB9771"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27F4DAE3" w14:textId="77777777" w:rsidR="00BC7CCD" w:rsidRDefault="00BC7CCD" w:rsidP="0075659D">
            <w:pPr>
              <w:pStyle w:val="TableText"/>
            </w:pPr>
            <w:r>
              <w:t>Q12. Do you believe this proposal would ensure consumers are provided with the necessary information to compare electricity plans?</w:t>
            </w:r>
          </w:p>
        </w:tc>
        <w:tc>
          <w:tcPr>
            <w:tcW w:w="5652" w:type="dxa"/>
            <w:tcBorders>
              <w:top w:val="nil"/>
              <w:left w:val="nil"/>
              <w:bottom w:val="single" w:sz="8" w:space="0" w:color="002B49"/>
              <w:right w:val="single" w:sz="8" w:space="0" w:color="002B49"/>
            </w:tcBorders>
            <w:shd w:val="clear" w:color="auto" w:fill="D7E1EF"/>
            <w:tcMar>
              <w:right w:w="28" w:type="dxa"/>
            </w:tcMar>
            <w:hideMark/>
          </w:tcPr>
          <w:p w14:paraId="777E0D27" w14:textId="77777777" w:rsidR="00BC7CCD" w:rsidRDefault="00BC7CCD" w:rsidP="0075659D">
            <w:pPr>
              <w:pStyle w:val="TableText"/>
              <w:cnfStyle w:val="000000010000" w:firstRow="0" w:lastRow="0" w:firstColumn="0" w:lastColumn="0" w:oddVBand="0" w:evenVBand="0" w:oddHBand="0" w:evenHBand="1" w:firstRowFirstColumn="0" w:firstRowLastColumn="0" w:lastRowFirstColumn="0" w:lastRowLastColumn="0"/>
            </w:pPr>
          </w:p>
        </w:tc>
      </w:tr>
      <w:tr w:rsidR="00BC7CCD" w14:paraId="512BAAE1"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527D90B5" w14:textId="77777777" w:rsidR="00BC7CCD" w:rsidRDefault="00BC7CCD" w:rsidP="0075659D">
            <w:pPr>
              <w:pStyle w:val="TableText"/>
            </w:pPr>
            <w:r>
              <w:t xml:space="preserve">Q13. Is the proposed EIEP14C request sufficient for third parties to electronically request EIEP14B files? If not, what would you suggest </w:t>
            </w:r>
            <w:proofErr w:type="gramStart"/>
            <w:r>
              <w:t>to achieve</w:t>
            </w:r>
            <w:proofErr w:type="gramEnd"/>
            <w:r>
              <w:t xml:space="preserve"> this?</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3625549C" w14:textId="77777777" w:rsidR="00BC7CCD" w:rsidRDefault="00BC7CCD" w:rsidP="0075659D">
            <w:pPr>
              <w:pStyle w:val="TableText"/>
              <w:cnfStyle w:val="000000100000" w:firstRow="0" w:lastRow="0" w:firstColumn="0" w:lastColumn="0" w:oddVBand="0" w:evenVBand="0" w:oddHBand="1" w:evenHBand="0" w:firstRowFirstColumn="0" w:firstRowLastColumn="0" w:lastRowFirstColumn="0" w:lastRowLastColumn="0"/>
            </w:pPr>
          </w:p>
        </w:tc>
      </w:tr>
      <w:tr w:rsidR="00BC7CCD" w14:paraId="0FF521F9"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13475B26" w14:textId="77777777" w:rsidR="00BC7CCD" w:rsidRDefault="00BC7CCD" w:rsidP="0075659D">
            <w:pPr>
              <w:pStyle w:val="TableText"/>
              <w:rPr>
                <w:color w:val="404040"/>
                <w:kern w:val="2"/>
                <w:szCs w:val="18"/>
              </w:rPr>
            </w:pPr>
            <w:r>
              <w:t>Q14. Do you agree with the Authority’s view that implementation of EIEP13C and EIEP14C should be straightforward, for the reasons given above? If not, why not?</w:t>
            </w:r>
          </w:p>
          <w:p w14:paraId="33807960" w14:textId="77777777" w:rsidR="00BC7CCD" w:rsidRDefault="00BC7CCD" w:rsidP="0075659D">
            <w:pPr>
              <w:pStyle w:val="TableText"/>
            </w:pPr>
          </w:p>
        </w:tc>
        <w:tc>
          <w:tcPr>
            <w:tcW w:w="5652" w:type="dxa"/>
            <w:tcBorders>
              <w:top w:val="nil"/>
              <w:left w:val="nil"/>
              <w:bottom w:val="single" w:sz="8" w:space="0" w:color="002B49"/>
              <w:right w:val="single" w:sz="8" w:space="0" w:color="002B49"/>
            </w:tcBorders>
            <w:shd w:val="clear" w:color="auto" w:fill="D7E1EF"/>
            <w:tcMar>
              <w:right w:w="28" w:type="dxa"/>
            </w:tcMar>
            <w:hideMark/>
          </w:tcPr>
          <w:p w14:paraId="62BD3708" w14:textId="77777777" w:rsidR="00BC7CCD" w:rsidRDefault="00BC7CCD" w:rsidP="0075659D">
            <w:pPr>
              <w:pStyle w:val="TableText"/>
              <w:cnfStyle w:val="000000010000" w:firstRow="0" w:lastRow="0" w:firstColumn="0" w:lastColumn="0" w:oddVBand="0" w:evenVBand="0" w:oddHBand="0" w:evenHBand="1" w:firstRowFirstColumn="0" w:firstRowLastColumn="0" w:lastRowFirstColumn="0" w:lastRowLastColumn="0"/>
            </w:pPr>
          </w:p>
        </w:tc>
      </w:tr>
      <w:tr w:rsidR="00BC7CCD" w14:paraId="6CC6414C"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hideMark/>
          </w:tcPr>
          <w:p w14:paraId="4A250ECB" w14:textId="77777777" w:rsidR="00BC7CCD" w:rsidRDefault="00BC7CCD" w:rsidP="0075659D">
            <w:pPr>
              <w:pStyle w:val="TableText"/>
              <w:rPr>
                <w:color w:val="404040"/>
                <w:kern w:val="2"/>
                <w:szCs w:val="18"/>
              </w:rPr>
            </w:pPr>
            <w:r>
              <w:t>Q15. What additional development effort is required to be able to process EIEP13C and EIEP14C beyond what has already been done to implement EIEP13A, EIEP13B, EIEP14A, and EIEP14B?</w:t>
            </w:r>
          </w:p>
        </w:tc>
        <w:tc>
          <w:tcPr>
            <w:tcW w:w="5652" w:type="dxa"/>
            <w:tcBorders>
              <w:top w:val="nil"/>
              <w:left w:val="nil"/>
              <w:bottom w:val="single" w:sz="8" w:space="0" w:color="002B49"/>
              <w:right w:val="single" w:sz="8" w:space="0" w:color="002B49"/>
            </w:tcBorders>
            <w:shd w:val="clear" w:color="auto" w:fill="F5F5EE"/>
            <w:tcMar>
              <w:right w:w="28" w:type="dxa"/>
            </w:tcMar>
            <w:hideMark/>
          </w:tcPr>
          <w:p w14:paraId="0AB56A93" w14:textId="77777777" w:rsidR="00BC7CCD" w:rsidRDefault="00BC7CCD" w:rsidP="0075659D">
            <w:pPr>
              <w:cnfStyle w:val="000000100000" w:firstRow="0" w:lastRow="0" w:firstColumn="0" w:lastColumn="0" w:oddVBand="0" w:evenVBand="0" w:oddHBand="1" w:evenHBand="0" w:firstRowFirstColumn="0" w:firstRowLastColumn="0" w:lastRowFirstColumn="0" w:lastRowLastColumn="0"/>
            </w:pPr>
          </w:p>
        </w:tc>
      </w:tr>
      <w:tr w:rsidR="00BC7CCD" w14:paraId="51A88FD4" w14:textId="77777777" w:rsidTr="007565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D7E1EF"/>
            <w:tcMar>
              <w:right w:w="28" w:type="dxa"/>
            </w:tcMar>
            <w:hideMark/>
          </w:tcPr>
          <w:p w14:paraId="0CC3EDC9" w14:textId="77777777" w:rsidR="00BC7CCD" w:rsidRPr="005E788B" w:rsidRDefault="00BC7CCD" w:rsidP="0075659D">
            <w:pPr>
              <w:pStyle w:val="TableText"/>
            </w:pPr>
            <w:r w:rsidRPr="00E76BC7">
              <w:t>Q1</w:t>
            </w:r>
            <w:r w:rsidRPr="005E788B">
              <w:t>6. If there is a period between implementation of EIEP13A, EIEP13B, and EIEP14B, and the implementation of EIEP13C and EIEP14C, cause issues for third party access to consumption and/or product information? If so, how might these be mitigated?</w:t>
            </w:r>
          </w:p>
        </w:tc>
        <w:tc>
          <w:tcPr>
            <w:tcW w:w="5652" w:type="dxa"/>
            <w:tcBorders>
              <w:top w:val="nil"/>
              <w:left w:val="nil"/>
              <w:bottom w:val="single" w:sz="8" w:space="0" w:color="002B49"/>
              <w:right w:val="single" w:sz="8" w:space="0" w:color="002B49"/>
            </w:tcBorders>
            <w:shd w:val="clear" w:color="auto" w:fill="D7E1EF"/>
            <w:tcMar>
              <w:right w:w="28" w:type="dxa"/>
            </w:tcMar>
            <w:hideMark/>
          </w:tcPr>
          <w:p w14:paraId="5385DE28" w14:textId="77777777" w:rsidR="00BC7CCD" w:rsidRDefault="00BC7CCD" w:rsidP="0075659D">
            <w:pPr>
              <w:cnfStyle w:val="000000010000" w:firstRow="0" w:lastRow="0" w:firstColumn="0" w:lastColumn="0" w:oddVBand="0" w:evenVBand="0" w:oddHBand="0" w:evenHBand="1" w:firstRowFirstColumn="0" w:firstRowLastColumn="0" w:lastRowFirstColumn="0" w:lastRowLastColumn="0"/>
            </w:pPr>
          </w:p>
        </w:tc>
      </w:tr>
      <w:tr w:rsidR="00BC7CCD" w14:paraId="2DF3EAB4" w14:textId="77777777" w:rsidTr="00756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Borders>
              <w:top w:val="nil"/>
              <w:left w:val="single" w:sz="8" w:space="0" w:color="002B49"/>
              <w:bottom w:val="single" w:sz="8" w:space="0" w:color="002B49"/>
              <w:right w:val="single" w:sz="8" w:space="0" w:color="002B49"/>
            </w:tcBorders>
            <w:shd w:val="clear" w:color="auto" w:fill="F5F5EE"/>
            <w:tcMar>
              <w:right w:w="28" w:type="dxa"/>
            </w:tcMar>
          </w:tcPr>
          <w:p w14:paraId="4AA2960D" w14:textId="77777777" w:rsidR="00BC7CCD" w:rsidRPr="005E788B" w:rsidRDefault="00BC7CCD" w:rsidP="0075659D">
            <w:pPr>
              <w:pStyle w:val="TableText"/>
            </w:pPr>
            <w:r w:rsidRPr="00E76BC7">
              <w:t>Q1</w:t>
            </w:r>
            <w:r w:rsidRPr="005E788B">
              <w:t>7. Do you agree with the Authority’s view that the proposals for the new EIEP14C and updated EIEP13C formats would collectively support informed consumer choice by enabling more accurate and consistent plan comparison and a more efficient and competitive market?</w:t>
            </w:r>
          </w:p>
        </w:tc>
        <w:tc>
          <w:tcPr>
            <w:tcW w:w="5652" w:type="dxa"/>
            <w:tcBorders>
              <w:top w:val="nil"/>
              <w:left w:val="nil"/>
              <w:bottom w:val="single" w:sz="8" w:space="0" w:color="002B49"/>
              <w:right w:val="single" w:sz="8" w:space="0" w:color="002B49"/>
            </w:tcBorders>
            <w:shd w:val="clear" w:color="auto" w:fill="F5F5EE"/>
            <w:tcMar>
              <w:right w:w="28" w:type="dxa"/>
            </w:tcMar>
          </w:tcPr>
          <w:p w14:paraId="5A6348FD" w14:textId="77777777" w:rsidR="00BC7CCD" w:rsidRDefault="00BC7CCD" w:rsidP="0075659D">
            <w:pPr>
              <w:cnfStyle w:val="000000100000" w:firstRow="0" w:lastRow="0" w:firstColumn="0" w:lastColumn="0" w:oddVBand="0" w:evenVBand="0" w:oddHBand="1" w:evenHBand="0" w:firstRowFirstColumn="0" w:firstRowLastColumn="0" w:lastRowFirstColumn="0" w:lastRowLastColumn="0"/>
            </w:pPr>
          </w:p>
        </w:tc>
      </w:tr>
    </w:tbl>
    <w:p w14:paraId="017FB83D" w14:textId="77777777" w:rsidR="00BC7CCD" w:rsidRDefault="00BC7CCD" w:rsidP="00BC7CCD">
      <w:pPr>
        <w:rPr>
          <w:color w:val="000000"/>
          <w:kern w:val="2"/>
          <w:lang w:eastAsia="en-NZ"/>
        </w:rPr>
      </w:pPr>
    </w:p>
    <w:p w14:paraId="1BCB9C28" w14:textId="77777777" w:rsidR="00BC7CCD" w:rsidRDefault="00BC7CCD" w:rsidP="00BC7CCD"/>
    <w:p w14:paraId="5AA2C5C5" w14:textId="77777777" w:rsidR="00FA5E1D" w:rsidRDefault="00FA5E1D"/>
    <w:sectPr w:rsidR="00FA5E1D">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34B6A" w14:textId="77777777" w:rsidR="00B669C3" w:rsidRDefault="00B669C3" w:rsidP="009A106B">
      <w:pPr>
        <w:spacing w:after="0" w:line="240" w:lineRule="auto"/>
      </w:pPr>
      <w:r>
        <w:separator/>
      </w:r>
    </w:p>
  </w:endnote>
  <w:endnote w:type="continuationSeparator" w:id="0">
    <w:p w14:paraId="36F51AC6" w14:textId="77777777" w:rsidR="00B669C3" w:rsidRDefault="00B669C3" w:rsidP="009A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A064F" w14:textId="77777777" w:rsidR="00B669C3" w:rsidRDefault="00B669C3" w:rsidP="009A106B">
      <w:pPr>
        <w:spacing w:after="0" w:line="240" w:lineRule="auto"/>
      </w:pPr>
      <w:r>
        <w:separator/>
      </w:r>
    </w:p>
  </w:footnote>
  <w:footnote w:type="continuationSeparator" w:id="0">
    <w:p w14:paraId="43B45FCD" w14:textId="77777777" w:rsidR="00B669C3" w:rsidRDefault="00B669C3" w:rsidP="009A1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0434" w14:textId="0C42C1EA" w:rsidR="009A106B" w:rsidRDefault="009A106B">
    <w:pPr>
      <w:pStyle w:val="Header"/>
    </w:pPr>
    <w:r>
      <w:rPr>
        <w:noProof/>
      </w:rPr>
      <w:drawing>
        <wp:anchor distT="0" distB="0" distL="114300" distR="114300" simplePos="0" relativeHeight="251658240" behindDoc="0" locked="0" layoutInCell="1" allowOverlap="1" wp14:anchorId="06AFDD57" wp14:editId="7AE59500">
          <wp:simplePos x="0" y="0"/>
          <wp:positionH relativeFrom="column">
            <wp:posOffset>4924108</wp:posOffset>
          </wp:positionH>
          <wp:positionV relativeFrom="paragraph">
            <wp:posOffset>-154305</wp:posOffset>
          </wp:positionV>
          <wp:extent cx="1371600" cy="414655"/>
          <wp:effectExtent l="0" t="0" r="0" b="4445"/>
          <wp:wrapThrough wrapText="bothSides">
            <wp:wrapPolygon edited="0">
              <wp:start x="0" y="0"/>
              <wp:lineTo x="0" y="20839"/>
              <wp:lineTo x="21300" y="20839"/>
              <wp:lineTo x="21300" y="0"/>
              <wp:lineTo x="0" y="0"/>
            </wp:wrapPolygon>
          </wp:wrapThrough>
          <wp:docPr id="1398888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46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B33C7"/>
    <w:multiLevelType w:val="multilevel"/>
    <w:tmpl w:val="AD449AC0"/>
    <w:lvl w:ilvl="0">
      <w:start w:val="4"/>
      <w:numFmt w:val="upperLetter"/>
      <w:pStyle w:val="Appendix1"/>
      <w:lvlText w:val="Appendix %1"/>
      <w:lvlJc w:val="left"/>
      <w:pPr>
        <w:tabs>
          <w:tab w:val="num" w:pos="1814"/>
        </w:tabs>
        <w:ind w:left="1814" w:hanging="1814"/>
      </w:pPr>
      <w:rPr>
        <w:rFonts w:hint="default"/>
      </w:rPr>
    </w:lvl>
    <w:lvl w:ilvl="1">
      <w:start w:val="1"/>
      <w:numFmt w:val="none"/>
      <w:pStyle w:val="Appendix2"/>
      <w:lvlText w:val=""/>
      <w:lvlJc w:val="left"/>
      <w:pPr>
        <w:tabs>
          <w:tab w:val="num" w:pos="624"/>
        </w:tabs>
        <w:ind w:left="624" w:firstLine="0"/>
      </w:pPr>
      <w:rPr>
        <w:rFonts w:hint="default"/>
      </w:rPr>
    </w:lvl>
    <w:lvl w:ilvl="2">
      <w:start w:val="1"/>
      <w:numFmt w:val="decimal"/>
      <w:lvlRestart w:val="1"/>
      <w:pStyle w:val="AppendixNumbered"/>
      <w:lvlText w:val="%1.%2%3"/>
      <w:lvlJc w:val="left"/>
      <w:pPr>
        <w:tabs>
          <w:tab w:val="num" w:pos="624"/>
        </w:tabs>
        <w:ind w:left="624" w:hanging="624"/>
      </w:pPr>
      <w:rPr>
        <w:rFonts w:hint="default"/>
      </w:rPr>
    </w:lvl>
    <w:lvl w:ilvl="3">
      <w:start w:val="1"/>
      <w:numFmt w:val="lowerLetter"/>
      <w:pStyle w:val="AppendixNumbered-Level2"/>
      <w:lvlText w:val="(%4)"/>
      <w:lvlJc w:val="left"/>
      <w:pPr>
        <w:tabs>
          <w:tab w:val="num" w:pos="1077"/>
        </w:tabs>
        <w:ind w:left="1077" w:hanging="425"/>
      </w:pPr>
      <w:rPr>
        <w:rFonts w:hint="default"/>
      </w:rPr>
    </w:lvl>
    <w:lvl w:ilvl="4">
      <w:start w:val="1"/>
      <w:numFmt w:val="lowerRoman"/>
      <w:lvlText w:val="(%5)"/>
      <w:lvlJc w:val="left"/>
      <w:pPr>
        <w:tabs>
          <w:tab w:val="num" w:pos="1531"/>
        </w:tabs>
        <w:ind w:left="1531" w:hanging="425"/>
      </w:pPr>
      <w:rPr>
        <w:rFonts w:hint="default"/>
      </w:rPr>
    </w:lvl>
    <w:lvl w:ilvl="5">
      <w:start w:val="1"/>
      <w:numFmt w:val="bullet"/>
      <w:lvlText w:val=""/>
      <w:lvlJc w:val="left"/>
      <w:pPr>
        <w:tabs>
          <w:tab w:val="num" w:pos="1985"/>
        </w:tabs>
        <w:ind w:left="1985" w:hanging="426"/>
      </w:pPr>
      <w:rPr>
        <w:rFonts w:ascii="Symbol" w:hAnsi="Symbol" w:hint="default"/>
      </w:rPr>
    </w:lvl>
    <w:lvl w:ilvl="6">
      <w:start w:val="1"/>
      <w:numFmt w:val="bullet"/>
      <w:lvlText w:val=""/>
      <w:lvlJc w:val="left"/>
      <w:pPr>
        <w:tabs>
          <w:tab w:val="num" w:pos="2438"/>
        </w:tabs>
        <w:ind w:left="2438" w:hanging="425"/>
      </w:pPr>
      <w:rPr>
        <w:rFonts w:ascii="Symbol" w:hAnsi="Symbol" w:hint="default"/>
      </w:rPr>
    </w:lvl>
    <w:lvl w:ilvl="7">
      <w:start w:val="1"/>
      <w:numFmt w:val="none"/>
      <w:lvlText w:val=""/>
      <w:lvlJc w:val="left"/>
      <w:pPr>
        <w:tabs>
          <w:tab w:val="num" w:pos="2438"/>
        </w:tabs>
        <w:ind w:left="2438" w:hanging="425"/>
      </w:pPr>
      <w:rPr>
        <w:rFonts w:hint="default"/>
      </w:rPr>
    </w:lvl>
    <w:lvl w:ilvl="8">
      <w:start w:val="1"/>
      <w:numFmt w:val="none"/>
      <w:lvlText w:val=""/>
      <w:lvlJc w:val="right"/>
      <w:pPr>
        <w:tabs>
          <w:tab w:val="num" w:pos="2438"/>
        </w:tabs>
        <w:ind w:left="2438" w:firstLine="0"/>
      </w:pPr>
      <w:rPr>
        <w:rFonts w:hint="default"/>
      </w:rPr>
    </w:lvl>
  </w:abstractNum>
  <w:num w:numId="1" w16cid:durableId="2138716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CD"/>
    <w:rsid w:val="002F442C"/>
    <w:rsid w:val="004D6CDF"/>
    <w:rsid w:val="00806379"/>
    <w:rsid w:val="0081361C"/>
    <w:rsid w:val="009A106B"/>
    <w:rsid w:val="00B669C3"/>
    <w:rsid w:val="00BC7CCD"/>
    <w:rsid w:val="00DC6E73"/>
    <w:rsid w:val="00FA5E1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CB33B"/>
  <w15:chartTrackingRefBased/>
  <w15:docId w15:val="{33F13F90-B2DC-4F02-818C-3957B5C4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CCD"/>
    <w:pPr>
      <w:spacing w:after="120" w:line="269" w:lineRule="auto"/>
      <w:ind w:left="624"/>
    </w:pPr>
    <w:rPr>
      <w:rFonts w:cstheme="majorBidi"/>
      <w:color w:val="000000" w:themeColor="text1"/>
      <w:kern w:val="0"/>
      <w:sz w:val="22"/>
      <w:szCs w:val="22"/>
      <w14:ligatures w14:val="none"/>
    </w:rPr>
  </w:style>
  <w:style w:type="paragraph" w:styleId="Heading1">
    <w:name w:val="heading 1"/>
    <w:basedOn w:val="Normal"/>
    <w:next w:val="Normal"/>
    <w:link w:val="Heading1Char"/>
    <w:uiPriority w:val="9"/>
    <w:qFormat/>
    <w:rsid w:val="00BC7CCD"/>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BC7CCD"/>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BC7CCD"/>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BC7CCD"/>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BC7CCD"/>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BC7CCD"/>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BC7CCD"/>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BC7CCD"/>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BC7CCD"/>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C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C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C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C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C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C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C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C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CCD"/>
    <w:rPr>
      <w:rFonts w:eastAsiaTheme="majorEastAsia" w:cstheme="majorBidi"/>
      <w:color w:val="272727" w:themeColor="text1" w:themeTint="D8"/>
    </w:rPr>
  </w:style>
  <w:style w:type="paragraph" w:styleId="Title">
    <w:name w:val="Title"/>
    <w:basedOn w:val="Normal"/>
    <w:next w:val="Normal"/>
    <w:link w:val="TitleChar"/>
    <w:uiPriority w:val="10"/>
    <w:qFormat/>
    <w:rsid w:val="00BC7CCD"/>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BC7C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CCD"/>
    <w:pPr>
      <w:numPr>
        <w:ilvl w:val="1"/>
      </w:numPr>
      <w:ind w:left="624"/>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BC7C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CCD"/>
    <w:pPr>
      <w:spacing w:before="160"/>
      <w:jc w:val="center"/>
    </w:pPr>
    <w:rPr>
      <w:i/>
      <w:iCs/>
      <w:color w:val="404040" w:themeColor="text1" w:themeTint="BF"/>
    </w:rPr>
  </w:style>
  <w:style w:type="character" w:customStyle="1" w:styleId="QuoteChar">
    <w:name w:val="Quote Char"/>
    <w:basedOn w:val="DefaultParagraphFont"/>
    <w:link w:val="Quote"/>
    <w:uiPriority w:val="29"/>
    <w:rsid w:val="00BC7CCD"/>
    <w:rPr>
      <w:i/>
      <w:iCs/>
      <w:color w:val="404040" w:themeColor="text1" w:themeTint="BF"/>
    </w:rPr>
  </w:style>
  <w:style w:type="paragraph" w:styleId="ListParagraph">
    <w:name w:val="List Paragraph"/>
    <w:basedOn w:val="Normal"/>
    <w:uiPriority w:val="34"/>
    <w:qFormat/>
    <w:rsid w:val="00BC7CCD"/>
    <w:pPr>
      <w:ind w:left="720"/>
      <w:contextualSpacing/>
    </w:pPr>
  </w:style>
  <w:style w:type="character" w:styleId="IntenseEmphasis">
    <w:name w:val="Intense Emphasis"/>
    <w:basedOn w:val="DefaultParagraphFont"/>
    <w:uiPriority w:val="21"/>
    <w:qFormat/>
    <w:rsid w:val="00BC7CCD"/>
    <w:rPr>
      <w:i/>
      <w:iCs/>
      <w:color w:val="0F4761" w:themeColor="accent1" w:themeShade="BF"/>
    </w:rPr>
  </w:style>
  <w:style w:type="paragraph" w:styleId="IntenseQuote">
    <w:name w:val="Intense Quote"/>
    <w:basedOn w:val="Normal"/>
    <w:next w:val="Normal"/>
    <w:link w:val="IntenseQuoteChar"/>
    <w:uiPriority w:val="30"/>
    <w:qFormat/>
    <w:rsid w:val="00BC7C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CCD"/>
    <w:rPr>
      <w:i/>
      <w:iCs/>
      <w:color w:val="0F4761" w:themeColor="accent1" w:themeShade="BF"/>
    </w:rPr>
  </w:style>
  <w:style w:type="character" w:styleId="IntenseReference">
    <w:name w:val="Intense Reference"/>
    <w:basedOn w:val="DefaultParagraphFont"/>
    <w:uiPriority w:val="32"/>
    <w:qFormat/>
    <w:rsid w:val="00BC7CCD"/>
    <w:rPr>
      <w:b/>
      <w:bCs/>
      <w:smallCaps/>
      <w:color w:val="0F4761" w:themeColor="accent1" w:themeShade="BF"/>
      <w:spacing w:val="5"/>
    </w:rPr>
  </w:style>
  <w:style w:type="paragraph" w:customStyle="1" w:styleId="Appendix1">
    <w:name w:val="Appendix 1"/>
    <w:basedOn w:val="Heading1"/>
    <w:next w:val="Appendix2"/>
    <w:qFormat/>
    <w:rsid w:val="00BC7CCD"/>
    <w:pPr>
      <w:pageBreakBefore/>
      <w:numPr>
        <w:numId w:val="1"/>
      </w:numPr>
      <w:tabs>
        <w:tab w:val="left" w:pos="624"/>
      </w:tabs>
      <w:spacing w:before="0" w:after="120"/>
      <w:contextualSpacing/>
    </w:pPr>
    <w:rPr>
      <w:b/>
      <w:color w:val="002B49"/>
      <w:sz w:val="32"/>
    </w:rPr>
  </w:style>
  <w:style w:type="paragraph" w:customStyle="1" w:styleId="Appendix2">
    <w:name w:val="Appendix 2"/>
    <w:basedOn w:val="Heading2"/>
    <w:next w:val="AppendixNumbered"/>
    <w:uiPriority w:val="10"/>
    <w:qFormat/>
    <w:rsid w:val="00BC7CCD"/>
    <w:pPr>
      <w:numPr>
        <w:ilvl w:val="1"/>
        <w:numId w:val="1"/>
      </w:numPr>
      <w:spacing w:before="180" w:after="120"/>
      <w:contextualSpacing/>
    </w:pPr>
    <w:rPr>
      <w:b/>
      <w:color w:val="4EA72E" w:themeColor="accent6"/>
      <w:sz w:val="28"/>
    </w:rPr>
  </w:style>
  <w:style w:type="character" w:styleId="PlaceholderText">
    <w:name w:val="Placeholder Text"/>
    <w:basedOn w:val="DefaultParagraphFont"/>
    <w:uiPriority w:val="99"/>
    <w:semiHidden/>
    <w:rsid w:val="00BC7CCD"/>
    <w:rPr>
      <w:color w:val="666666"/>
    </w:rPr>
  </w:style>
  <w:style w:type="paragraph" w:customStyle="1" w:styleId="TableText">
    <w:name w:val="Table Text"/>
    <w:basedOn w:val="Normal"/>
    <w:qFormat/>
    <w:rsid w:val="00BC7CCD"/>
    <w:pPr>
      <w:spacing w:before="40" w:after="40" w:line="240" w:lineRule="auto"/>
      <w:ind w:left="0"/>
      <w:contextualSpacing/>
    </w:pPr>
    <w:rPr>
      <w:color w:val="404040" w:themeColor="text1" w:themeTint="BF"/>
      <w:sz w:val="18"/>
      <w:szCs w:val="19"/>
    </w:rPr>
  </w:style>
  <w:style w:type="table" w:customStyle="1" w:styleId="EATable">
    <w:name w:val="EA Table"/>
    <w:basedOn w:val="TableGridLight"/>
    <w:rsid w:val="00BC7CCD"/>
    <w:rPr>
      <w:rFonts w:cstheme="majorBidi"/>
      <w:kern w:val="0"/>
      <w:sz w:val="20"/>
      <w:szCs w:val="20"/>
      <w:lang w:eastAsia="en-NZ"/>
      <w14:shadow w14:blurRad="0" w14:dist="0" w14:dir="0" w14:sx="0" w14:sy="0" w14:kx="0" w14:ky="0" w14:algn="ctr">
        <w14:srgbClr w14:val="000000"/>
      </w14:shadow>
      <w14:reflection w14:blurRad="0" w14:stA="100000" w14:stPos="0" w14:endA="0" w14:endPos="0" w14:dist="0" w14:dir="0" w14:fadeDir="0" w14:sx="0" w14:sy="0" w14:kx="0" w14:ky="0" w14:algn="b"/>
      <w14:ligatures w14:val="none"/>
    </w:rPr>
    <w:tblPr>
      <w:tblStyleRowBandSize w:val="1"/>
      <w:tblStyleColBandSize w:val="1"/>
      <w:tblInd w:w="595" w:type="dxa"/>
      <w:tblBorders>
        <w:top w:val="single" w:sz="4" w:space="0" w:color="002B49"/>
        <w:left w:val="single" w:sz="4" w:space="0" w:color="002B49"/>
        <w:bottom w:val="single" w:sz="4" w:space="0" w:color="002B49"/>
        <w:right w:val="single" w:sz="4" w:space="0" w:color="002B49"/>
        <w:insideH w:val="single" w:sz="4" w:space="0" w:color="002B49"/>
        <w:insideV w:val="single" w:sz="4" w:space="0" w:color="002B49"/>
      </w:tblBorders>
      <w:tblCellMar>
        <w:top w:w="28" w:type="dxa"/>
        <w:left w:w="45" w:type="dxa"/>
        <w:bottom w:w="28" w:type="dxa"/>
        <w:right w:w="28" w:type="dxa"/>
      </w:tblCellMar>
    </w:tblPr>
    <w:tcPr>
      <w:vAlign w:val="center"/>
    </w:tcPr>
    <w:tblStylePr w:type="firstRow">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b/>
        <w:i w:val="0"/>
        <w:color w:val="FFFFFF" w:themeColor="background1"/>
        <w:sz w:val="19"/>
      </w:rPr>
      <w:tblPr/>
      <w:tcPr>
        <w:tcBorders>
          <w:top w:val="single" w:sz="4" w:space="0" w:color="002B49"/>
          <w:left w:val="single" w:sz="4" w:space="0" w:color="002B49"/>
          <w:bottom w:val="single" w:sz="4" w:space="0" w:color="002B49"/>
          <w:right w:val="single" w:sz="4" w:space="0" w:color="002B49"/>
          <w:insideH w:val="single" w:sz="4" w:space="0" w:color="002B49"/>
          <w:insideV w:val="single" w:sz="4" w:space="0" w:color="002B49"/>
          <w:tl2br w:val="nil"/>
          <w:tr2bl w:val="nil"/>
        </w:tcBorders>
        <w:shd w:val="clear" w:color="auto" w:fill="002B49"/>
        <w:tcMar>
          <w:top w:w="57" w:type="dxa"/>
          <w:left w:w="45" w:type="dxa"/>
          <w:bottom w:w="57" w:type="dxa"/>
          <w:right w:w="0" w:type="nil"/>
        </w:tcMar>
      </w:tcPr>
    </w:tblStylePr>
    <w:tblStylePr w:type="lastRow">
      <w:pPr>
        <w:wordWrap/>
        <w:spacing w:beforeLines="0" w:before="0" w:beforeAutospacing="0" w:afterLines="0" w:after="0" w:afterAutospacing="0" w:line="240" w:lineRule="auto"/>
        <w:ind w:leftChars="0" w:left="0" w:rightChars="0" w:right="0" w:firstLineChars="0" w:firstLine="0"/>
        <w:contextualSpacing/>
        <w:mirrorIndents/>
        <w:jc w:val="left"/>
        <w:outlineLvl w:val="9"/>
      </w:pPr>
      <w:rPr>
        <w:rFonts w:asciiTheme="minorHAnsi" w:hAnsiTheme="minorHAnsi"/>
        <w:i/>
        <w:iCs/>
        <w:sz w:val="18"/>
      </w:rPr>
      <w:tblPr/>
      <w:tcPr>
        <w:tcBorders>
          <w:tl2br w:val="none" w:sz="0" w:space="0" w:color="auto"/>
          <w:tr2bl w:val="none" w:sz="0" w:space="0" w:color="auto"/>
        </w:tcBorders>
        <w:tcMar>
          <w:top w:w="57" w:type="dxa"/>
          <w:left w:w="45" w:type="dxa"/>
          <w:bottom w:w="57" w:type="dxa"/>
          <w:right w:w="0" w:type="nil"/>
        </w:tcMar>
      </w:tcPr>
    </w:tblStylePr>
    <w:tblStylePr w:type="firstCol">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b/>
        <w:i w:val="0"/>
        <w:color w:val="FFFFFF" w:themeColor="background1"/>
        <w:sz w:val="19"/>
      </w:rPr>
      <w:tblPr/>
      <w:tcPr>
        <w:shd w:val="clear" w:color="auto" w:fill="002B49"/>
        <w:tcMar>
          <w:top w:w="57" w:type="dxa"/>
          <w:left w:w="45" w:type="dxa"/>
          <w:bottom w:w="57" w:type="dxa"/>
          <w:right w:w="0" w:type="nil"/>
        </w:tcMar>
      </w:tcPr>
    </w:tblStylePr>
    <w:tblStylePr w:type="lastCol">
      <w:pPr>
        <w:wordWrap/>
        <w:spacing w:beforeLines="0" w:before="0" w:beforeAutospacing="0" w:afterLines="0" w:after="0" w:afterAutospacing="0" w:line="240" w:lineRule="auto"/>
        <w:ind w:leftChars="0" w:left="0" w:rightChars="0" w:right="0"/>
        <w:contextualSpacing/>
        <w:mirrorIndents/>
        <w:jc w:val="left"/>
        <w:outlineLvl w:val="9"/>
      </w:pPr>
      <w:rPr>
        <w:i/>
        <w:iCs/>
      </w:rPr>
      <w:tblPr/>
      <w:tcPr>
        <w:tcBorders>
          <w:tl2br w:val="none" w:sz="0" w:space="0" w:color="auto"/>
          <w:tr2bl w:val="none" w:sz="0" w:space="0" w:color="auto"/>
        </w:tcBorders>
      </w:tcPr>
    </w:tblStylePr>
    <w:tblStylePr w:type="band1Vert">
      <w:pPr>
        <w:wordWrap/>
        <w:spacing w:beforeLines="0" w:before="0" w:beforeAutospacing="0" w:afterLines="0" w:after="0" w:afterAutospacing="0" w:line="240" w:lineRule="auto"/>
        <w:ind w:leftChars="0" w:left="0" w:rightChars="0" w:right="0"/>
        <w:contextualSpacing/>
        <w:mirrorIndents/>
        <w:jc w:val="left"/>
        <w:outlineLvl w:val="9"/>
      </w:pPr>
    </w:tblStylePr>
    <w:tblStylePr w:type="band2Vert">
      <w:pPr>
        <w:wordWrap/>
        <w:spacing w:beforeLines="0" w:before="0" w:beforeAutospacing="0" w:afterLines="0" w:after="0" w:afterAutospacing="0" w:line="240" w:lineRule="auto"/>
        <w:ind w:leftChars="0" w:left="0" w:rightChars="0" w:right="0"/>
        <w:contextualSpacing/>
        <w:mirrorIndents/>
        <w:jc w:val="left"/>
        <w:outlineLvl w:val="9"/>
      </w:pPr>
    </w:tblStylePr>
    <w:tblStylePr w:type="band1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color w:val="auto"/>
        <w:sz w:val="18"/>
      </w:rPr>
      <w:tblPr/>
      <w:tcPr>
        <w:shd w:val="clear" w:color="auto" w:fill="C1F0C7" w:themeFill="accent3" w:themeFillTint="33"/>
        <w:vAlign w:val="top"/>
      </w:tcPr>
    </w:tblStylePr>
    <w:tblStylePr w:type="band2Horz">
      <w:pPr>
        <w:wordWrap/>
        <w:spacing w:beforeLines="0" w:before="0" w:beforeAutospacing="0" w:afterLines="0" w:after="0" w:afterAutospacing="0" w:line="240" w:lineRule="auto"/>
        <w:ind w:leftChars="0" w:left="0" w:rightChars="0" w:right="0"/>
        <w:contextualSpacing/>
        <w:mirrorIndents/>
        <w:jc w:val="left"/>
        <w:outlineLvl w:val="9"/>
      </w:pPr>
      <w:rPr>
        <w:rFonts w:asciiTheme="minorHAnsi" w:hAnsiTheme="minorHAnsi"/>
        <w:color w:val="auto"/>
        <w:sz w:val="18"/>
      </w:rPr>
      <w:tblPr/>
      <w:tcPr>
        <w:shd w:val="clear" w:color="auto" w:fill="D9F2D0" w:themeFill="accent6" w:themeFillTint="33"/>
      </w:tcPr>
    </w:tblStylePr>
    <w:tblStylePr w:type="neCell">
      <w:pPr>
        <w:wordWrap/>
        <w:spacing w:beforeLines="0" w:before="0" w:beforeAutospacing="0" w:afterLines="0" w:after="0" w:afterAutospacing="0" w:line="240" w:lineRule="auto"/>
      </w:pPr>
    </w:tblStylePr>
  </w:style>
  <w:style w:type="paragraph" w:customStyle="1" w:styleId="AppendixNumbered">
    <w:name w:val="Appendix Numbered"/>
    <w:basedOn w:val="Normal"/>
    <w:uiPriority w:val="10"/>
    <w:qFormat/>
    <w:rsid w:val="00BC7CCD"/>
    <w:pPr>
      <w:numPr>
        <w:ilvl w:val="2"/>
        <w:numId w:val="1"/>
      </w:numPr>
    </w:pPr>
  </w:style>
  <w:style w:type="paragraph" w:customStyle="1" w:styleId="AppendixNumbered-Level2">
    <w:name w:val="Appendix Numbered - Level 2"/>
    <w:basedOn w:val="Normal"/>
    <w:uiPriority w:val="10"/>
    <w:unhideWhenUsed/>
    <w:qFormat/>
    <w:rsid w:val="00BC7CCD"/>
    <w:pPr>
      <w:numPr>
        <w:ilvl w:val="3"/>
        <w:numId w:val="1"/>
      </w:numPr>
    </w:pPr>
  </w:style>
  <w:style w:type="character" w:customStyle="1" w:styleId="Bold">
    <w:name w:val="Bold"/>
    <w:basedOn w:val="DefaultParagraphFont"/>
    <w:uiPriority w:val="2"/>
    <w:qFormat/>
    <w:rsid w:val="00BC7CCD"/>
    <w:rPr>
      <w:b/>
    </w:rPr>
  </w:style>
  <w:style w:type="paragraph" w:customStyle="1" w:styleId="TableHeader">
    <w:name w:val="Table Header"/>
    <w:basedOn w:val="TableText"/>
    <w:qFormat/>
    <w:rsid w:val="00BC7CCD"/>
    <w:pPr>
      <w:spacing w:before="0" w:after="0"/>
    </w:pPr>
    <w:rPr>
      <w:color w:val="FFFFFF" w:themeColor="background1"/>
      <w:sz w:val="19"/>
    </w:rPr>
  </w:style>
  <w:style w:type="paragraph" w:customStyle="1" w:styleId="ExecSumm-Normal">
    <w:name w:val="Exec Summ - Normal"/>
    <w:basedOn w:val="Normal"/>
    <w:qFormat/>
    <w:rsid w:val="00BC7CCD"/>
    <w:pPr>
      <w:ind w:left="0"/>
    </w:pPr>
    <w:rPr>
      <w:lang w:val="en-US"/>
    </w:rPr>
  </w:style>
  <w:style w:type="character" w:customStyle="1" w:styleId="Normal-reset">
    <w:name w:val="Normal - reset"/>
    <w:basedOn w:val="DefaultParagraphFont"/>
    <w:qFormat/>
    <w:rsid w:val="00BC7CCD"/>
  </w:style>
  <w:style w:type="table" w:styleId="TableGridLight">
    <w:name w:val="Grid Table Light"/>
    <w:basedOn w:val="TableNormal"/>
    <w:uiPriority w:val="40"/>
    <w:rsid w:val="00BC7C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C7CCD"/>
    <w:rPr>
      <w:color w:val="467886" w:themeColor="hyperlink"/>
      <w:u w:val="single"/>
    </w:rPr>
  </w:style>
  <w:style w:type="character" w:styleId="UnresolvedMention">
    <w:name w:val="Unresolved Mention"/>
    <w:basedOn w:val="DefaultParagraphFont"/>
    <w:uiPriority w:val="99"/>
    <w:semiHidden/>
    <w:unhideWhenUsed/>
    <w:rsid w:val="00BC7CCD"/>
    <w:rPr>
      <w:color w:val="605E5C"/>
      <w:shd w:val="clear" w:color="auto" w:fill="E1DFDD"/>
    </w:rPr>
  </w:style>
  <w:style w:type="paragraph" w:styleId="Header">
    <w:name w:val="header"/>
    <w:basedOn w:val="Normal"/>
    <w:link w:val="HeaderChar"/>
    <w:uiPriority w:val="99"/>
    <w:unhideWhenUsed/>
    <w:rsid w:val="009A1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06B"/>
    <w:rPr>
      <w:rFonts w:cstheme="majorBidi"/>
      <w:color w:val="000000" w:themeColor="text1"/>
      <w:kern w:val="0"/>
      <w:sz w:val="22"/>
      <w:szCs w:val="22"/>
      <w14:ligatures w14:val="none"/>
    </w:rPr>
  </w:style>
  <w:style w:type="paragraph" w:styleId="Footer">
    <w:name w:val="footer"/>
    <w:basedOn w:val="Normal"/>
    <w:link w:val="FooterChar"/>
    <w:uiPriority w:val="99"/>
    <w:unhideWhenUsed/>
    <w:rsid w:val="009A1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6B"/>
    <w:rPr>
      <w:rFonts w:cstheme="majorBidi"/>
      <w:color w:val="000000" w:themeColor="text1"/>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sumer.mobility@ea.govt.n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91630BB8E745468BACFA1B7FEEF93F"/>
        <w:category>
          <w:name w:val="General"/>
          <w:gallery w:val="placeholder"/>
        </w:category>
        <w:types>
          <w:type w:val="bbPlcHdr"/>
        </w:types>
        <w:behaviors>
          <w:behavior w:val="content"/>
        </w:behaviors>
        <w:guid w:val="{783C24E9-3BFA-4CDB-BD27-E10DD821A1CC}"/>
      </w:docPartPr>
      <w:docPartBody>
        <w:p w:rsidR="00074F60" w:rsidRDefault="00CA1725" w:rsidP="00CA1725">
          <w:pPr>
            <w:pStyle w:val="E591630BB8E745468BACFA1B7FEEF93F"/>
          </w:pPr>
          <w:r w:rsidRPr="006F33C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25"/>
    <w:rsid w:val="00074F60"/>
    <w:rsid w:val="002F442C"/>
    <w:rsid w:val="00A205FD"/>
    <w:rsid w:val="00CA1725"/>
    <w:rsid w:val="00DC6E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1725"/>
    <w:rPr>
      <w:color w:val="666666"/>
    </w:rPr>
  </w:style>
  <w:style w:type="paragraph" w:customStyle="1" w:styleId="E591630BB8E745468BACFA1B7FEEF93F">
    <w:name w:val="E591630BB8E745468BACFA1B7FEEF93F"/>
    <w:rsid w:val="00CA1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95301f-fb14-433b-b87d-ba3279dc1e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8F1983E4A2AA41966034CDC766A65B" ma:contentTypeVersion="11" ma:contentTypeDescription="Create a new document." ma:contentTypeScope="" ma:versionID="c0f08a3cba3b0ac38e6d594dbf45e111">
  <xsd:schema xmlns:xsd="http://www.w3.org/2001/XMLSchema" xmlns:xs="http://www.w3.org/2001/XMLSchema" xmlns:p="http://schemas.microsoft.com/office/2006/metadata/properties" xmlns:ns2="e2b2efdc-e7f2-4d6e-a42d-f563d3b4b0c6" xmlns:ns3="c895301f-fb14-433b-b87d-ba3279dc1e0a" targetNamespace="http://schemas.microsoft.com/office/2006/metadata/properties" ma:root="true" ma:fieldsID="445756759dbf3021986fd12e51c8d3af" ns2:_="" ns3:_="">
    <xsd:import namespace="e2b2efdc-e7f2-4d6e-a42d-f563d3b4b0c6"/>
    <xsd:import namespace="c895301f-fb14-433b-b87d-ba3279dc1e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2efdc-e7f2-4d6e-a42d-f563d3b4b0c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5301f-fb14-433b-b87d-ba3279dc1e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b479d-2f4c-4731-ac2b-718bffb3d6e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602EF9-A616-443F-9141-98FB51CB5D47}">
  <ds:schemaRefs>
    <ds:schemaRef ds:uri="http://schemas.microsoft.com/office/2006/metadata/properties"/>
    <ds:schemaRef ds:uri="http://schemas.microsoft.com/office/infopath/2007/PartnerControls"/>
    <ds:schemaRef ds:uri="c895301f-fb14-433b-b87d-ba3279dc1e0a"/>
  </ds:schemaRefs>
</ds:datastoreItem>
</file>

<file path=customXml/itemProps2.xml><?xml version="1.0" encoding="utf-8"?>
<ds:datastoreItem xmlns:ds="http://schemas.openxmlformats.org/officeDocument/2006/customXml" ds:itemID="{E11327DD-8D20-4324-B4DF-BC3E4CB02B31}">
  <ds:schemaRefs>
    <ds:schemaRef ds:uri="http://schemas.microsoft.com/sharepoint/v3/contenttype/forms"/>
  </ds:schemaRefs>
</ds:datastoreItem>
</file>

<file path=customXml/itemProps3.xml><?xml version="1.0" encoding="utf-8"?>
<ds:datastoreItem xmlns:ds="http://schemas.openxmlformats.org/officeDocument/2006/customXml" ds:itemID="{1D21CA19-FD33-412D-A2F9-776A95CA6085}">
  <ds:schemaRefs>
    <ds:schemaRef ds:uri="http://schemas.microsoft.com/sharepoint/events"/>
  </ds:schemaRefs>
</ds:datastoreItem>
</file>

<file path=customXml/itemProps4.xml><?xml version="1.0" encoding="utf-8"?>
<ds:datastoreItem xmlns:ds="http://schemas.openxmlformats.org/officeDocument/2006/customXml" ds:itemID="{A1ECA787-A296-4EFA-83BD-858561656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2efdc-e7f2-4d6e-a42d-f563d3b4b0c6"/>
    <ds:schemaRef ds:uri="c895301f-fb14-433b-b87d-ba3279dc1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4d662c-557e-43a0-9ef4-ea4730eb3732}" enabled="1" method="Privileged" siteId="{01ce6efc-7935-414f-b831-2b1d356f92e4}"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2691</Characters>
  <Application>Microsoft Office Word</Application>
  <DocSecurity>0</DocSecurity>
  <Lines>111</Lines>
  <Paragraphs>24</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Chapman</dc:creator>
  <cp:keywords/>
  <dc:description/>
  <cp:lastModifiedBy>Beth Lloyd</cp:lastModifiedBy>
  <cp:revision>2</cp:revision>
  <dcterms:created xsi:type="dcterms:W3CDTF">2026-09-16T03:57:00Z</dcterms:created>
  <dcterms:modified xsi:type="dcterms:W3CDTF">2026-09-16T03:57:00Z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0x010100568F1983E4A2AA41966034CDC766A65B</vt:lpwstr>
  </property>
</Properties>
</file>