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35D9C" w14:textId="1FD648F9" w:rsidR="00C44610" w:rsidRPr="00C44610" w:rsidRDefault="00C44610" w:rsidP="00C44610">
      <w:pPr>
        <w:keepNext/>
        <w:keepLines/>
        <w:pageBreakBefore/>
        <w:tabs>
          <w:tab w:val="left" w:pos="624"/>
          <w:tab w:val="num" w:pos="1814"/>
        </w:tabs>
        <w:spacing w:after="120" w:line="269" w:lineRule="auto"/>
        <w:ind w:left="1814" w:hanging="1814"/>
        <w:contextualSpacing/>
        <w:outlineLvl w:val="0"/>
        <w:rPr>
          <w:rFonts w:ascii="Arial" w:eastAsia="MS Gothic" w:hAnsi="Arial" w:cs="Times New Roman"/>
          <w:b/>
          <w:color w:val="002B49"/>
          <w:kern w:val="0"/>
          <w:sz w:val="32"/>
          <w:szCs w:val="40"/>
          <w14:ligatures w14:val="none"/>
        </w:rPr>
      </w:pPr>
      <w:bookmarkStart w:id="0" w:name="_Toc142479533"/>
      <w:bookmarkStart w:id="1" w:name="_Toc240548482"/>
      <w:r>
        <w:rPr>
          <w:rFonts w:ascii="Arial" w:eastAsia="MS Gothic" w:hAnsi="Arial" w:cs="Times New Roman"/>
          <w:b/>
          <w:color w:val="002B49"/>
          <w:kern w:val="0"/>
          <w:sz w:val="32"/>
          <w:szCs w:val="40"/>
          <w14:ligatures w14:val="none"/>
        </w:rPr>
        <w:t>Appendix A</w:t>
      </w:r>
      <w:r w:rsidRPr="00C44610">
        <w:rPr>
          <w:rFonts w:ascii="Arial" w:eastAsia="MS Gothic" w:hAnsi="Arial" w:cs="Times New Roman"/>
          <w:b/>
          <w:color w:val="002B49"/>
          <w:kern w:val="0"/>
          <w:sz w:val="32"/>
          <w:szCs w:val="40"/>
          <w14:ligatures w14:val="none"/>
        </w:rPr>
        <w:t xml:space="preserve">– </w:t>
      </w:r>
      <w:bookmarkStart w:id="2" w:name="_Toc237248736"/>
      <w:r w:rsidRPr="00C44610" w:rsidDel="00FB0C6A">
        <w:rPr>
          <w:rFonts w:ascii="Arial" w:eastAsia="MS Gothic" w:hAnsi="Arial" w:cs="Times New Roman"/>
          <w:b/>
          <w:color w:val="002B49"/>
          <w:kern w:val="0"/>
          <w:sz w:val="32"/>
          <w:szCs w:val="40"/>
          <w14:ligatures w14:val="none"/>
        </w:rPr>
        <w:t>S</w:t>
      </w:r>
      <w:r w:rsidRPr="00C44610">
        <w:rPr>
          <w:rFonts w:ascii="Arial" w:eastAsia="MS Gothic" w:hAnsi="Arial" w:cs="Times New Roman"/>
          <w:b/>
          <w:color w:val="002B49"/>
          <w:kern w:val="0"/>
          <w:sz w:val="32"/>
          <w:szCs w:val="40"/>
          <w14:ligatures w14:val="none"/>
        </w:rPr>
        <w:t>ubmission</w:t>
      </w:r>
      <w:bookmarkEnd w:id="0"/>
      <w:r w:rsidRPr="00C44610">
        <w:rPr>
          <w:rFonts w:ascii="Arial" w:eastAsia="MS Gothic" w:hAnsi="Arial" w:cs="Times New Roman"/>
          <w:b/>
          <w:color w:val="002B49"/>
          <w:kern w:val="0"/>
          <w:sz w:val="32"/>
          <w:szCs w:val="40"/>
          <w14:ligatures w14:val="none"/>
        </w:rPr>
        <w:t xml:space="preserve"> form</w:t>
      </w:r>
      <w:bookmarkEnd w:id="1"/>
      <w:bookmarkEnd w:id="2"/>
    </w:p>
    <w:p w14:paraId="4FDB296D" w14:textId="77777777" w:rsidR="00C44610" w:rsidRPr="00C44610" w:rsidRDefault="00C44610" w:rsidP="00C44610">
      <w:pPr>
        <w:spacing w:after="120" w:line="269" w:lineRule="auto"/>
        <w:rPr>
          <w:rFonts w:ascii="Arial" w:eastAsia="Arial" w:hAnsi="Arial" w:cs="Times New Roman"/>
          <w:b/>
          <w:color w:val="000000"/>
          <w:kern w:val="0"/>
          <w:sz w:val="22"/>
          <w:szCs w:val="22"/>
          <w:lang w:val="en-US"/>
          <w14:ligatures w14:val="none"/>
        </w:rPr>
      </w:pPr>
      <w:r w:rsidRPr="00C44610">
        <w:rPr>
          <w:rFonts w:ascii="Arial" w:eastAsia="Arial" w:hAnsi="Arial" w:cs="Times New Roman"/>
          <w:b/>
          <w:color w:val="000000"/>
          <w:kern w:val="0"/>
          <w:sz w:val="22"/>
          <w:szCs w:val="22"/>
          <w:lang w:val="en-US"/>
          <w14:ligatures w14:val="none"/>
        </w:rPr>
        <w:t xml:space="preserve">Long-duration firming – issues and options paper </w:t>
      </w:r>
    </w:p>
    <w:p w14:paraId="25D108D3" w14:textId="3384F55F" w:rsidR="00C44610" w:rsidRPr="00C44610" w:rsidRDefault="00C44610" w:rsidP="00C44610">
      <w:pPr>
        <w:spacing w:after="120" w:line="269" w:lineRule="auto"/>
        <w:rPr>
          <w:rFonts w:ascii="Arial" w:eastAsia="Arial" w:hAnsi="Arial" w:cs="Times New Roman"/>
          <w:color w:val="000000"/>
          <w:kern w:val="0"/>
          <w:sz w:val="22"/>
          <w:szCs w:val="22"/>
          <w:lang w:val="en-US"/>
          <w14:ligatures w14:val="none"/>
        </w:rPr>
      </w:pPr>
      <w:r w:rsidRPr="00C44610">
        <w:rPr>
          <w:rFonts w:ascii="Arial" w:eastAsia="Arial" w:hAnsi="Arial" w:cs="Times New Roman"/>
          <w:color w:val="000000"/>
          <w:kern w:val="0"/>
          <w:sz w:val="22"/>
          <w:szCs w:val="22"/>
          <w:lang w:val="en-US"/>
          <w14:ligatures w14:val="none"/>
        </w:rPr>
        <w:t xml:space="preserve">Please email your submission to wholesaleconsultation@ea.govt.nz by 5pm, </w:t>
      </w:r>
      <w:sdt>
        <w:sdtPr>
          <w:rPr>
            <w:rFonts w:ascii="Arial" w:eastAsia="Arial" w:hAnsi="Arial" w:cs="Times New Roman"/>
            <w:color w:val="000000"/>
            <w:kern w:val="0"/>
            <w:sz w:val="22"/>
            <w:szCs w:val="22"/>
            <w:lang w:val="en-US"/>
            <w14:ligatures w14:val="none"/>
          </w:rPr>
          <w:id w:val="-1527399558"/>
          <w:placeholder>
            <w:docPart w:val="E2EF1E6EDC614A82A1167F500F293AA3"/>
          </w:placeholder>
          <w:date w:fullDate="2026-11-13T00:00:00Z">
            <w:dateFormat w:val="dddd d MMMM yyyy"/>
            <w:lid w:val="en-NZ"/>
            <w:storeMappedDataAs w:val="dateTime"/>
            <w:calendar w:val="gregorian"/>
          </w:date>
        </w:sdtPr>
        <w:sdtContent>
          <w:r w:rsidR="00285D6D">
            <w:rPr>
              <w:rFonts w:ascii="Arial" w:eastAsia="Arial" w:hAnsi="Arial" w:cs="Times New Roman"/>
              <w:color w:val="000000"/>
              <w:kern w:val="0"/>
              <w:sz w:val="22"/>
              <w:szCs w:val="22"/>
              <w14:ligatures w14:val="none"/>
            </w:rPr>
            <w:t>Friday 13 November 2026</w:t>
          </w:r>
        </w:sdtContent>
      </w:sdt>
    </w:p>
    <w:tbl>
      <w:tblPr>
        <w:tblStyle w:val="EATable"/>
        <w:tblW w:w="0" w:type="auto"/>
        <w:tblInd w:w="-5" w:type="dxa"/>
        <w:tblLook w:val="0480" w:firstRow="0" w:lastRow="0" w:firstColumn="1" w:lastColumn="0" w:noHBand="0" w:noVBand="1"/>
      </w:tblPr>
      <w:tblGrid>
        <w:gridCol w:w="3770"/>
        <w:gridCol w:w="5251"/>
      </w:tblGrid>
      <w:tr w:rsidR="00C44610" w:rsidRPr="00C44610" w14:paraId="0455925D" w14:textId="77777777" w:rsidTr="00412F4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969" w:type="dxa"/>
          </w:tcPr>
          <w:p w14:paraId="5F4C5267" w14:textId="77777777" w:rsidR="00C44610" w:rsidRPr="00C44610" w:rsidRDefault="00C44610" w:rsidP="00C44610">
            <w:pPr>
              <w:rPr>
                <w:rFonts w:eastAsia="Arial"/>
                <w:szCs w:val="19"/>
              </w:rPr>
            </w:pPr>
            <w:r w:rsidRPr="00C44610">
              <w:rPr>
                <w:rFonts w:eastAsia="Arial"/>
                <w:szCs w:val="19"/>
              </w:rPr>
              <w:t>Name</w:t>
            </w:r>
          </w:p>
        </w:tc>
        <w:tc>
          <w:tcPr>
            <w:tcW w:w="5657" w:type="dxa"/>
          </w:tcPr>
          <w:p w14:paraId="0E022BC3" w14:textId="77777777" w:rsidR="00C44610" w:rsidRPr="00C44610" w:rsidRDefault="00C44610" w:rsidP="00C44610">
            <w:pPr>
              <w:spacing w:before="40" w:after="40"/>
              <w:cnfStyle w:val="000000100000" w:firstRow="0" w:lastRow="0" w:firstColumn="0" w:lastColumn="0" w:oddVBand="0" w:evenVBand="0" w:oddHBand="1" w:evenHBand="0" w:firstRowFirstColumn="0" w:firstRowLastColumn="0" w:lastRowFirstColumn="0" w:lastRowLastColumn="0"/>
              <w:rPr>
                <w:rFonts w:eastAsia="Arial"/>
                <w:color w:val="404040"/>
                <w:szCs w:val="19"/>
              </w:rPr>
            </w:pPr>
          </w:p>
        </w:tc>
      </w:tr>
      <w:tr w:rsidR="00C44610" w:rsidRPr="00C44610" w14:paraId="1678AF3F" w14:textId="77777777" w:rsidTr="00412F43">
        <w:trPr>
          <w:cnfStyle w:val="000000010000" w:firstRow="0" w:lastRow="0" w:firstColumn="0" w:lastColumn="0" w:oddVBand="0" w:evenVBand="0" w:oddHBand="0" w:evenHBand="1"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969" w:type="dxa"/>
          </w:tcPr>
          <w:p w14:paraId="61DCA7F0" w14:textId="77777777" w:rsidR="00C44610" w:rsidRPr="00C44610" w:rsidRDefault="00C44610" w:rsidP="00C44610">
            <w:pPr>
              <w:rPr>
                <w:rFonts w:eastAsia="Arial"/>
                <w:szCs w:val="19"/>
              </w:rPr>
            </w:pPr>
            <w:r w:rsidRPr="00C44610">
              <w:rPr>
                <w:rFonts w:eastAsia="Arial"/>
                <w:szCs w:val="19"/>
              </w:rPr>
              <w:t>Organisation</w:t>
            </w:r>
          </w:p>
        </w:tc>
        <w:tc>
          <w:tcPr>
            <w:tcW w:w="5657" w:type="dxa"/>
          </w:tcPr>
          <w:p w14:paraId="69239E31" w14:textId="77777777" w:rsidR="00C44610" w:rsidRPr="00C44610" w:rsidRDefault="00C44610" w:rsidP="00C44610">
            <w:pPr>
              <w:spacing w:before="40" w:after="40"/>
              <w:cnfStyle w:val="000000010000" w:firstRow="0" w:lastRow="0" w:firstColumn="0" w:lastColumn="0" w:oddVBand="0" w:evenVBand="0" w:oddHBand="0" w:evenHBand="1" w:firstRowFirstColumn="0" w:firstRowLastColumn="0" w:lastRowFirstColumn="0" w:lastRowLastColumn="0"/>
              <w:rPr>
                <w:rFonts w:eastAsia="Arial"/>
                <w:color w:val="404040"/>
                <w:szCs w:val="19"/>
              </w:rPr>
            </w:pPr>
          </w:p>
        </w:tc>
      </w:tr>
    </w:tbl>
    <w:p w14:paraId="2EE7B784" w14:textId="77777777" w:rsidR="00C44610" w:rsidRPr="00C44610" w:rsidRDefault="00C44610" w:rsidP="00C44610">
      <w:pPr>
        <w:spacing w:after="120" w:line="269" w:lineRule="auto"/>
        <w:ind w:left="624"/>
        <w:rPr>
          <w:rFonts w:ascii="Arial" w:eastAsia="Arial" w:hAnsi="Arial" w:cs="Times New Roman"/>
          <w:color w:val="000000"/>
          <w:kern w:val="0"/>
          <w:sz w:val="22"/>
          <w:szCs w:val="22"/>
          <w14:ligatures w14:val="none"/>
        </w:rPr>
      </w:pPr>
    </w:p>
    <w:tbl>
      <w:tblPr>
        <w:tblStyle w:val="EATable"/>
        <w:tblW w:w="0" w:type="auto"/>
        <w:tblInd w:w="-5" w:type="dxa"/>
        <w:tblCellMar>
          <w:top w:w="57" w:type="dxa"/>
          <w:bottom w:w="57" w:type="dxa"/>
        </w:tblCellMar>
        <w:tblLook w:val="0420" w:firstRow="1" w:lastRow="0" w:firstColumn="0" w:lastColumn="0" w:noHBand="0" w:noVBand="1"/>
      </w:tblPr>
      <w:tblGrid>
        <w:gridCol w:w="3746"/>
        <w:gridCol w:w="5275"/>
      </w:tblGrid>
      <w:tr w:rsidR="00C44610" w:rsidRPr="00C44610" w14:paraId="4C3418D2" w14:textId="77777777" w:rsidTr="00412F43">
        <w:trPr>
          <w:cnfStyle w:val="100000000000" w:firstRow="1" w:lastRow="0" w:firstColumn="0" w:lastColumn="0" w:oddVBand="0" w:evenVBand="0" w:oddHBand="0" w:evenHBand="0" w:firstRowFirstColumn="0" w:firstRowLastColumn="0" w:lastRowFirstColumn="0" w:lastRowLastColumn="0"/>
        </w:trPr>
        <w:tc>
          <w:tcPr>
            <w:tcW w:w="3969" w:type="dxa"/>
            <w:vAlign w:val="top"/>
          </w:tcPr>
          <w:p w14:paraId="0A77FC34" w14:textId="77777777" w:rsidR="00C44610" w:rsidRPr="00C44610" w:rsidRDefault="00C44610" w:rsidP="00C44610">
            <w:pPr>
              <w:rPr>
                <w:rFonts w:eastAsia="Arial"/>
                <w:szCs w:val="19"/>
              </w:rPr>
            </w:pPr>
            <w:r w:rsidRPr="00C44610">
              <w:rPr>
                <w:rFonts w:eastAsia="Arial"/>
                <w:szCs w:val="19"/>
              </w:rPr>
              <w:t>Questions</w:t>
            </w:r>
          </w:p>
        </w:tc>
        <w:tc>
          <w:tcPr>
            <w:tcW w:w="5657" w:type="dxa"/>
            <w:vAlign w:val="top"/>
          </w:tcPr>
          <w:p w14:paraId="381301AD" w14:textId="77777777" w:rsidR="00C44610" w:rsidRPr="00C44610" w:rsidRDefault="00C44610" w:rsidP="00C44610">
            <w:pPr>
              <w:rPr>
                <w:rFonts w:eastAsia="Arial"/>
                <w:szCs w:val="19"/>
              </w:rPr>
            </w:pPr>
            <w:r w:rsidRPr="00C44610">
              <w:rPr>
                <w:rFonts w:eastAsia="Arial"/>
                <w:szCs w:val="19"/>
              </w:rPr>
              <w:t>Comments</w:t>
            </w:r>
          </w:p>
        </w:tc>
      </w:tr>
      <w:tr w:rsidR="00C44610" w:rsidRPr="00C44610" w14:paraId="5AEA00A3"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05A91B5E"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Q1:</w:t>
            </w:r>
            <w:r w:rsidRPr="00C44610">
              <w:rPr>
                <w:rFonts w:eastAsia="Arial"/>
                <w:color w:val="404040"/>
                <w:szCs w:val="19"/>
              </w:rPr>
              <w:t xml:space="preserve"> Do you agree with the Authority and Sapere’s analysis that New Zealand faces an ongoing, but declining, long-duration firm energy gap? Please explain your views.</w:t>
            </w:r>
          </w:p>
        </w:tc>
        <w:tc>
          <w:tcPr>
            <w:tcW w:w="5657" w:type="dxa"/>
            <w:vAlign w:val="top"/>
          </w:tcPr>
          <w:p w14:paraId="438B87EA" w14:textId="77777777" w:rsidR="00C44610" w:rsidRPr="00C44610" w:rsidRDefault="00C44610" w:rsidP="00C44610">
            <w:pPr>
              <w:spacing w:before="40" w:after="40"/>
              <w:rPr>
                <w:rFonts w:eastAsia="Arial"/>
                <w:color w:val="404040"/>
                <w:szCs w:val="19"/>
              </w:rPr>
            </w:pPr>
          </w:p>
        </w:tc>
      </w:tr>
      <w:tr w:rsidR="00C44610" w:rsidRPr="00C44610" w14:paraId="0D98AE0A" w14:textId="77777777" w:rsidTr="00412F43">
        <w:trPr>
          <w:cnfStyle w:val="000000010000" w:firstRow="0" w:lastRow="0" w:firstColumn="0" w:lastColumn="0" w:oddVBand="0" w:evenVBand="0" w:oddHBand="0" w:evenHBand="1" w:firstRowFirstColumn="0" w:firstRowLastColumn="0" w:lastRowFirstColumn="0" w:lastRowLastColumn="0"/>
        </w:trPr>
        <w:tc>
          <w:tcPr>
            <w:tcW w:w="3969" w:type="dxa"/>
            <w:vAlign w:val="top"/>
          </w:tcPr>
          <w:p w14:paraId="5E2744E1" w14:textId="77777777" w:rsidR="00C44610" w:rsidRPr="00C44610" w:rsidRDefault="00C44610" w:rsidP="00C44610">
            <w:pPr>
              <w:spacing w:before="40" w:after="40"/>
              <w:rPr>
                <w:rFonts w:eastAsia="Arial"/>
                <w:color w:val="404040"/>
                <w:szCs w:val="19"/>
              </w:rPr>
            </w:pPr>
            <w:r w:rsidRPr="00C44610">
              <w:rPr>
                <w:rFonts w:eastAsia="Arial"/>
                <w:b/>
                <w:color w:val="404040"/>
                <w:szCs w:val="19"/>
              </w:rPr>
              <w:t>Q2</w:t>
            </w:r>
            <w:r w:rsidRPr="00C44610">
              <w:rPr>
                <w:rFonts w:eastAsia="Arial"/>
                <w:color w:val="404040"/>
                <w:szCs w:val="19"/>
              </w:rPr>
              <w:t>: Do you agree with the Authority's assessment of barriers to the market providing additional sources of long-duration firming? Please explain your views.</w:t>
            </w:r>
          </w:p>
        </w:tc>
        <w:tc>
          <w:tcPr>
            <w:tcW w:w="5657" w:type="dxa"/>
            <w:vAlign w:val="top"/>
          </w:tcPr>
          <w:p w14:paraId="238A5983" w14:textId="77777777" w:rsidR="00C44610" w:rsidRPr="00C44610" w:rsidRDefault="00C44610" w:rsidP="00C44610">
            <w:pPr>
              <w:spacing w:before="40" w:after="40"/>
              <w:rPr>
                <w:rFonts w:eastAsia="Arial"/>
                <w:color w:val="404040"/>
                <w:szCs w:val="19"/>
              </w:rPr>
            </w:pPr>
          </w:p>
        </w:tc>
      </w:tr>
      <w:tr w:rsidR="00C44610" w:rsidRPr="00C44610" w14:paraId="05D570AF"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355978FF" w14:textId="77777777" w:rsidR="00C44610" w:rsidRPr="00C44610" w:rsidRDefault="00C44610" w:rsidP="00C44610">
            <w:pPr>
              <w:spacing w:before="40" w:after="40"/>
              <w:rPr>
                <w:rFonts w:eastAsia="Arial"/>
                <w:color w:val="404040"/>
                <w:szCs w:val="19"/>
              </w:rPr>
            </w:pPr>
            <w:r w:rsidRPr="00C44610">
              <w:rPr>
                <w:rFonts w:eastAsia="Arial"/>
                <w:b/>
                <w:color w:val="404040"/>
                <w:szCs w:val="19"/>
              </w:rPr>
              <w:t>Q3</w:t>
            </w:r>
            <w:r w:rsidRPr="00C44610">
              <w:rPr>
                <w:rFonts w:eastAsia="Arial"/>
                <w:color w:val="404040"/>
                <w:szCs w:val="19"/>
              </w:rPr>
              <w:t>: Are there any other barriers you think limit participation in firming contract markets for buyers, sellers and potential new entrants? Please explain your views.</w:t>
            </w:r>
          </w:p>
        </w:tc>
        <w:tc>
          <w:tcPr>
            <w:tcW w:w="5657" w:type="dxa"/>
            <w:vAlign w:val="top"/>
          </w:tcPr>
          <w:p w14:paraId="44838D6D" w14:textId="77777777" w:rsidR="00C44610" w:rsidRPr="00C44610" w:rsidRDefault="00C44610" w:rsidP="00C44610">
            <w:pPr>
              <w:spacing w:before="40" w:after="40"/>
              <w:rPr>
                <w:rFonts w:eastAsia="Arial"/>
                <w:color w:val="404040"/>
                <w:szCs w:val="19"/>
              </w:rPr>
            </w:pPr>
          </w:p>
        </w:tc>
      </w:tr>
      <w:tr w:rsidR="00C44610" w:rsidRPr="00C44610" w14:paraId="6C0A3C17" w14:textId="77777777" w:rsidTr="00412F43">
        <w:trPr>
          <w:cnfStyle w:val="000000010000" w:firstRow="0" w:lastRow="0" w:firstColumn="0" w:lastColumn="0" w:oddVBand="0" w:evenVBand="0" w:oddHBand="0" w:evenHBand="1" w:firstRowFirstColumn="0" w:firstRowLastColumn="0" w:lastRowFirstColumn="0" w:lastRowLastColumn="0"/>
        </w:trPr>
        <w:tc>
          <w:tcPr>
            <w:tcW w:w="3969" w:type="dxa"/>
            <w:vAlign w:val="top"/>
          </w:tcPr>
          <w:p w14:paraId="68509422" w14:textId="77777777" w:rsidR="00C44610" w:rsidRPr="00C44610" w:rsidRDefault="00C44610" w:rsidP="00C44610">
            <w:pPr>
              <w:spacing w:before="40" w:after="40"/>
              <w:rPr>
                <w:rFonts w:eastAsia="Arial"/>
                <w:color w:val="404040"/>
                <w:szCs w:val="19"/>
              </w:rPr>
            </w:pPr>
            <w:r w:rsidRPr="00C44610">
              <w:rPr>
                <w:rFonts w:eastAsia="Arial"/>
                <w:b/>
                <w:color w:val="404040"/>
                <w:szCs w:val="19"/>
              </w:rPr>
              <w:t>Q4</w:t>
            </w:r>
            <w:r w:rsidRPr="00C44610">
              <w:rPr>
                <w:rFonts w:eastAsia="Arial"/>
                <w:color w:val="404040"/>
                <w:szCs w:val="19"/>
              </w:rPr>
              <w:t>: Does the tenor gap represent a material barrier to investment? What additional work or interventions, if any, could be considered by the Authority to address this issue?</w:t>
            </w:r>
          </w:p>
        </w:tc>
        <w:tc>
          <w:tcPr>
            <w:tcW w:w="5657" w:type="dxa"/>
            <w:vAlign w:val="top"/>
          </w:tcPr>
          <w:p w14:paraId="764FBCC8" w14:textId="77777777" w:rsidR="00C44610" w:rsidRPr="00C44610" w:rsidRDefault="00C44610" w:rsidP="00C44610">
            <w:pPr>
              <w:spacing w:before="40" w:after="40"/>
              <w:rPr>
                <w:rFonts w:eastAsia="Arial"/>
                <w:color w:val="404040"/>
                <w:szCs w:val="19"/>
              </w:rPr>
            </w:pPr>
          </w:p>
        </w:tc>
      </w:tr>
      <w:tr w:rsidR="00C44610" w:rsidRPr="00C44610" w14:paraId="642F7FD3"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5FB02CE0"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Q5</w:t>
            </w:r>
            <w:r w:rsidRPr="00C44610">
              <w:rPr>
                <w:rFonts w:eastAsia="Arial"/>
                <w:b/>
                <w:color w:val="404040"/>
                <w:szCs w:val="19"/>
              </w:rPr>
              <w:t>:</w:t>
            </w:r>
            <w:r w:rsidRPr="00C44610">
              <w:rPr>
                <w:rFonts w:eastAsia="Arial"/>
                <w:color w:val="404040"/>
                <w:szCs w:val="19"/>
              </w:rPr>
              <w:t xml:space="preserve"> What is the most appropriate method for assessing long-duration firming risks? For example, should the assessment focus on dry seasons or dry years or both? </w:t>
            </w:r>
          </w:p>
        </w:tc>
        <w:tc>
          <w:tcPr>
            <w:tcW w:w="5657" w:type="dxa"/>
            <w:vAlign w:val="top"/>
          </w:tcPr>
          <w:p w14:paraId="04B66439" w14:textId="77777777" w:rsidR="00C44610" w:rsidRPr="00C44610" w:rsidRDefault="00C44610" w:rsidP="00C44610">
            <w:pPr>
              <w:spacing w:before="40" w:after="40"/>
              <w:rPr>
                <w:rFonts w:eastAsia="Arial"/>
                <w:color w:val="404040"/>
                <w:szCs w:val="19"/>
              </w:rPr>
            </w:pPr>
          </w:p>
        </w:tc>
      </w:tr>
      <w:tr w:rsidR="00C44610" w:rsidRPr="00C44610" w14:paraId="7E040CD6" w14:textId="77777777" w:rsidTr="00412F43">
        <w:trPr>
          <w:cnfStyle w:val="000000010000" w:firstRow="0" w:lastRow="0" w:firstColumn="0" w:lastColumn="0" w:oddVBand="0" w:evenVBand="0" w:oddHBand="0" w:evenHBand="1" w:firstRowFirstColumn="0" w:firstRowLastColumn="0" w:lastRowFirstColumn="0" w:lastRowLastColumn="0"/>
        </w:trPr>
        <w:tc>
          <w:tcPr>
            <w:tcW w:w="3969" w:type="dxa"/>
            <w:vAlign w:val="top"/>
          </w:tcPr>
          <w:p w14:paraId="0D47A66F"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Q6</w:t>
            </w:r>
            <w:r w:rsidRPr="00C44610">
              <w:rPr>
                <w:rFonts w:eastAsia="Arial"/>
                <w:b/>
                <w:color w:val="404040"/>
                <w:szCs w:val="19"/>
              </w:rPr>
              <w:t>:</w:t>
            </w:r>
            <w:r w:rsidRPr="00C44610">
              <w:rPr>
                <w:rFonts w:eastAsia="Arial"/>
                <w:color w:val="404040"/>
                <w:szCs w:val="19"/>
              </w:rPr>
              <w:t xml:space="preserve"> What information or guidance on firming contracts would be most useful for market participants? </w:t>
            </w:r>
          </w:p>
        </w:tc>
        <w:tc>
          <w:tcPr>
            <w:tcW w:w="5657" w:type="dxa"/>
            <w:vAlign w:val="top"/>
          </w:tcPr>
          <w:p w14:paraId="10C8AF91" w14:textId="77777777" w:rsidR="00C44610" w:rsidRPr="00C44610" w:rsidRDefault="00C44610" w:rsidP="00C44610">
            <w:pPr>
              <w:spacing w:before="40" w:after="40"/>
              <w:rPr>
                <w:rFonts w:eastAsia="Arial"/>
                <w:color w:val="404040"/>
                <w:szCs w:val="19"/>
              </w:rPr>
            </w:pPr>
          </w:p>
        </w:tc>
      </w:tr>
      <w:tr w:rsidR="00C44610" w:rsidRPr="00C44610" w14:paraId="36D358D0"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7C6D72A9"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Q7</w:t>
            </w:r>
            <w:r w:rsidRPr="00C44610">
              <w:rPr>
                <w:rFonts w:eastAsia="Arial"/>
                <w:b/>
                <w:color w:val="404040"/>
                <w:szCs w:val="19"/>
              </w:rPr>
              <w:t>:</w:t>
            </w:r>
            <w:r w:rsidRPr="00C44610">
              <w:rPr>
                <w:rFonts w:eastAsia="Arial"/>
                <w:color w:val="404040"/>
                <w:szCs w:val="19"/>
              </w:rPr>
              <w:t xml:space="preserve"> What information relating to firming contracts should be disclosed to improve market transparency? </w:t>
            </w:r>
          </w:p>
        </w:tc>
        <w:tc>
          <w:tcPr>
            <w:tcW w:w="5657" w:type="dxa"/>
            <w:vAlign w:val="top"/>
          </w:tcPr>
          <w:p w14:paraId="0DD4C697" w14:textId="77777777" w:rsidR="00C44610" w:rsidRPr="00C44610" w:rsidRDefault="00C44610" w:rsidP="00C44610">
            <w:pPr>
              <w:spacing w:before="40" w:after="40"/>
              <w:rPr>
                <w:rFonts w:eastAsia="Arial"/>
                <w:color w:val="404040"/>
                <w:szCs w:val="19"/>
              </w:rPr>
            </w:pPr>
          </w:p>
        </w:tc>
      </w:tr>
      <w:tr w:rsidR="00C44610" w:rsidRPr="00C44610" w14:paraId="799CEC16" w14:textId="77777777" w:rsidTr="00412F43">
        <w:trPr>
          <w:cnfStyle w:val="000000010000" w:firstRow="0" w:lastRow="0" w:firstColumn="0" w:lastColumn="0" w:oddVBand="0" w:evenVBand="0" w:oddHBand="0" w:evenHBand="1" w:firstRowFirstColumn="0" w:firstRowLastColumn="0" w:lastRowFirstColumn="0" w:lastRowLastColumn="0"/>
        </w:trPr>
        <w:tc>
          <w:tcPr>
            <w:tcW w:w="3969" w:type="dxa"/>
            <w:vAlign w:val="top"/>
          </w:tcPr>
          <w:p w14:paraId="6502E1C0"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Q8</w:t>
            </w:r>
            <w:r w:rsidRPr="00C44610">
              <w:rPr>
                <w:rFonts w:eastAsia="Arial"/>
                <w:color w:val="404040"/>
                <w:szCs w:val="19"/>
              </w:rPr>
              <w:t xml:space="preserve">: What measures, if any, should be prioritised to improve investment incentives for long-duration firming? </w:t>
            </w:r>
          </w:p>
        </w:tc>
        <w:tc>
          <w:tcPr>
            <w:tcW w:w="5657" w:type="dxa"/>
            <w:vAlign w:val="top"/>
          </w:tcPr>
          <w:p w14:paraId="3A9B79D0" w14:textId="77777777" w:rsidR="00C44610" w:rsidRPr="00C44610" w:rsidRDefault="00C44610" w:rsidP="00C44610">
            <w:pPr>
              <w:spacing w:before="40" w:after="40"/>
              <w:rPr>
                <w:rFonts w:eastAsia="Arial"/>
                <w:color w:val="404040"/>
                <w:szCs w:val="19"/>
              </w:rPr>
            </w:pPr>
          </w:p>
        </w:tc>
      </w:tr>
      <w:tr w:rsidR="00C44610" w:rsidRPr="00C44610" w14:paraId="1AD6A0C2"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141A0BCB"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Q9</w:t>
            </w:r>
            <w:r w:rsidRPr="00C44610">
              <w:rPr>
                <w:rFonts w:eastAsia="Arial"/>
                <w:b/>
                <w:color w:val="404040"/>
                <w:szCs w:val="19"/>
              </w:rPr>
              <w:t>:</w:t>
            </w:r>
            <w:r w:rsidRPr="00C44610">
              <w:rPr>
                <w:rFonts w:eastAsia="Arial"/>
                <w:color w:val="404040"/>
                <w:szCs w:val="19"/>
              </w:rPr>
              <w:t xml:space="preserve"> Would a physical or financial firming product be more effective in supporting market liquidity, managing risk, and supporting investment signals? Please explain your views.</w:t>
            </w:r>
          </w:p>
        </w:tc>
        <w:tc>
          <w:tcPr>
            <w:tcW w:w="5657" w:type="dxa"/>
            <w:vAlign w:val="top"/>
          </w:tcPr>
          <w:p w14:paraId="464331B4" w14:textId="77777777" w:rsidR="00C44610" w:rsidRPr="00C44610" w:rsidRDefault="00C44610" w:rsidP="00C44610">
            <w:pPr>
              <w:spacing w:before="40" w:after="40"/>
              <w:rPr>
                <w:rFonts w:eastAsia="Arial"/>
                <w:color w:val="404040"/>
                <w:szCs w:val="19"/>
              </w:rPr>
            </w:pPr>
          </w:p>
        </w:tc>
      </w:tr>
      <w:tr w:rsidR="00C44610" w:rsidRPr="00C44610" w14:paraId="7543A62B" w14:textId="77777777" w:rsidTr="00412F43">
        <w:trPr>
          <w:cnfStyle w:val="000000010000" w:firstRow="0" w:lastRow="0" w:firstColumn="0" w:lastColumn="0" w:oddVBand="0" w:evenVBand="0" w:oddHBand="0" w:evenHBand="1" w:firstRowFirstColumn="0" w:firstRowLastColumn="0" w:lastRowFirstColumn="0" w:lastRowLastColumn="0"/>
        </w:trPr>
        <w:tc>
          <w:tcPr>
            <w:tcW w:w="3969" w:type="dxa"/>
            <w:vAlign w:val="top"/>
          </w:tcPr>
          <w:p w14:paraId="36E1E833" w14:textId="77777777" w:rsidR="00C44610" w:rsidRPr="00C44610" w:rsidRDefault="00C44610" w:rsidP="00C44610">
            <w:pPr>
              <w:spacing w:before="40" w:after="40"/>
              <w:rPr>
                <w:rFonts w:eastAsia="Arial"/>
                <w:color w:val="404040"/>
                <w:szCs w:val="19"/>
              </w:rPr>
            </w:pPr>
            <w:r w:rsidRPr="00C44610">
              <w:rPr>
                <w:rFonts w:eastAsia="Arial"/>
                <w:b/>
                <w:color w:val="404040"/>
                <w:szCs w:val="19"/>
              </w:rPr>
              <w:t>Q10</w:t>
            </w:r>
            <w:r w:rsidRPr="00C44610">
              <w:rPr>
                <w:rFonts w:eastAsia="Arial"/>
                <w:color w:val="404040"/>
                <w:szCs w:val="19"/>
              </w:rPr>
              <w:t xml:space="preserve">: Do you support the introduction of a mandated sell-side auction for a small volume of firm energy products? Why or why not? If you support this option, please include in your response the types, volume, and duration of products that should be auctioned. </w:t>
            </w:r>
          </w:p>
        </w:tc>
        <w:tc>
          <w:tcPr>
            <w:tcW w:w="5657" w:type="dxa"/>
            <w:vAlign w:val="top"/>
          </w:tcPr>
          <w:p w14:paraId="1395CF70" w14:textId="77777777" w:rsidR="00C44610" w:rsidRPr="00C44610" w:rsidRDefault="00C44610" w:rsidP="00C44610">
            <w:pPr>
              <w:spacing w:before="40" w:after="40"/>
              <w:rPr>
                <w:rFonts w:eastAsia="Arial"/>
                <w:color w:val="404040"/>
                <w:szCs w:val="19"/>
              </w:rPr>
            </w:pPr>
          </w:p>
        </w:tc>
      </w:tr>
      <w:tr w:rsidR="00C44610" w:rsidRPr="00C44610" w14:paraId="4D369ED4" w14:textId="77777777" w:rsidTr="00412F43">
        <w:trPr>
          <w:cnfStyle w:val="000000100000" w:firstRow="0" w:lastRow="0" w:firstColumn="0" w:lastColumn="0" w:oddVBand="0" w:evenVBand="0" w:oddHBand="1" w:evenHBand="0" w:firstRowFirstColumn="0" w:firstRowLastColumn="0" w:lastRowFirstColumn="0" w:lastRowLastColumn="0"/>
        </w:trPr>
        <w:tc>
          <w:tcPr>
            <w:tcW w:w="3969" w:type="dxa"/>
            <w:vAlign w:val="top"/>
          </w:tcPr>
          <w:p w14:paraId="3F4ABF73" w14:textId="77777777" w:rsidR="00C44610" w:rsidRPr="00C44610" w:rsidRDefault="00C44610" w:rsidP="00C44610">
            <w:pPr>
              <w:spacing w:before="40" w:after="40"/>
              <w:rPr>
                <w:rFonts w:eastAsia="Arial"/>
                <w:color w:val="404040"/>
                <w:szCs w:val="19"/>
              </w:rPr>
            </w:pPr>
            <w:r w:rsidRPr="00C44610">
              <w:rPr>
                <w:rFonts w:eastAsia="Arial"/>
                <w:b/>
                <w:bCs/>
                <w:color w:val="404040"/>
                <w:szCs w:val="19"/>
              </w:rPr>
              <w:t>Q11</w:t>
            </w:r>
            <w:r w:rsidRPr="00C44610">
              <w:rPr>
                <w:rFonts w:eastAsia="Arial"/>
                <w:b/>
                <w:color w:val="404040"/>
                <w:szCs w:val="19"/>
              </w:rPr>
              <w:t>:</w:t>
            </w:r>
            <w:r w:rsidRPr="00C44610">
              <w:rPr>
                <w:rFonts w:eastAsia="Arial"/>
                <w:color w:val="404040"/>
                <w:szCs w:val="19"/>
              </w:rPr>
              <w:t xml:space="preserve"> What additional measures could be introduced to facilitate more effective, or additional, demand response arrangements? </w:t>
            </w:r>
          </w:p>
        </w:tc>
        <w:tc>
          <w:tcPr>
            <w:tcW w:w="5657" w:type="dxa"/>
            <w:vAlign w:val="top"/>
          </w:tcPr>
          <w:p w14:paraId="319F741F" w14:textId="77777777" w:rsidR="00C44610" w:rsidRPr="00C44610" w:rsidRDefault="00C44610" w:rsidP="00C44610">
            <w:pPr>
              <w:spacing w:before="40" w:after="40"/>
              <w:rPr>
                <w:rFonts w:eastAsia="Arial"/>
                <w:color w:val="404040"/>
                <w:szCs w:val="19"/>
              </w:rPr>
            </w:pPr>
          </w:p>
        </w:tc>
      </w:tr>
    </w:tbl>
    <w:p w14:paraId="0776F6B1" w14:textId="77777777" w:rsidR="00FC70ED" w:rsidRDefault="00FC70ED"/>
    <w:sectPr w:rsidR="00FC70E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4362" w14:textId="77777777" w:rsidR="008F7008" w:rsidRDefault="008F7008" w:rsidP="00670647">
      <w:pPr>
        <w:spacing w:after="0" w:line="240" w:lineRule="auto"/>
      </w:pPr>
      <w:r>
        <w:separator/>
      </w:r>
    </w:p>
  </w:endnote>
  <w:endnote w:type="continuationSeparator" w:id="0">
    <w:p w14:paraId="57834F47" w14:textId="77777777" w:rsidR="008F7008" w:rsidRDefault="008F7008" w:rsidP="0067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7923F" w14:textId="77777777" w:rsidR="008F7008" w:rsidRDefault="008F7008" w:rsidP="00670647">
      <w:pPr>
        <w:spacing w:after="0" w:line="240" w:lineRule="auto"/>
      </w:pPr>
      <w:r>
        <w:separator/>
      </w:r>
    </w:p>
  </w:footnote>
  <w:footnote w:type="continuationSeparator" w:id="0">
    <w:p w14:paraId="2F72D3C4" w14:textId="77777777" w:rsidR="008F7008" w:rsidRDefault="008F7008" w:rsidP="00670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7579" w14:textId="38C9D665" w:rsidR="00670647" w:rsidRDefault="00670647">
    <w:pPr>
      <w:pStyle w:val="Header"/>
    </w:pPr>
    <w:r>
      <w:rPr>
        <w:noProof/>
      </w:rPr>
      <w:drawing>
        <wp:anchor distT="0" distB="0" distL="114300" distR="114300" simplePos="0" relativeHeight="251658240" behindDoc="0" locked="0" layoutInCell="1" allowOverlap="1" wp14:anchorId="4BFD8B82" wp14:editId="1DB22EF0">
          <wp:simplePos x="0" y="0"/>
          <wp:positionH relativeFrom="column">
            <wp:posOffset>5085080</wp:posOffset>
          </wp:positionH>
          <wp:positionV relativeFrom="paragraph">
            <wp:posOffset>-248920</wp:posOffset>
          </wp:positionV>
          <wp:extent cx="1371600" cy="414655"/>
          <wp:effectExtent l="0" t="0" r="0" b="4445"/>
          <wp:wrapThrough wrapText="bothSides">
            <wp:wrapPolygon edited="0">
              <wp:start x="0" y="0"/>
              <wp:lineTo x="0" y="20839"/>
              <wp:lineTo x="21300" y="20839"/>
              <wp:lineTo x="21300" y="0"/>
              <wp:lineTo x="0" y="0"/>
            </wp:wrapPolygon>
          </wp:wrapThrough>
          <wp:docPr id="1854425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1465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610"/>
    <w:rsid w:val="00285D6D"/>
    <w:rsid w:val="0058281F"/>
    <w:rsid w:val="00670647"/>
    <w:rsid w:val="008F7008"/>
    <w:rsid w:val="00B1092A"/>
    <w:rsid w:val="00B43AC0"/>
    <w:rsid w:val="00C44610"/>
    <w:rsid w:val="00FC70E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9BADB"/>
  <w15:chartTrackingRefBased/>
  <w15:docId w15:val="{18A6D1A7-EF69-4D65-82C9-937D87AF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6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6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6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6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6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6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6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6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610"/>
    <w:rPr>
      <w:rFonts w:eastAsiaTheme="majorEastAsia" w:cstheme="majorBidi"/>
      <w:color w:val="272727" w:themeColor="text1" w:themeTint="D8"/>
    </w:rPr>
  </w:style>
  <w:style w:type="paragraph" w:styleId="Title">
    <w:name w:val="Title"/>
    <w:basedOn w:val="Normal"/>
    <w:next w:val="Normal"/>
    <w:link w:val="TitleChar"/>
    <w:uiPriority w:val="10"/>
    <w:qFormat/>
    <w:rsid w:val="00C44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610"/>
    <w:pPr>
      <w:spacing w:before="160"/>
      <w:jc w:val="center"/>
    </w:pPr>
    <w:rPr>
      <w:i/>
      <w:iCs/>
      <w:color w:val="404040" w:themeColor="text1" w:themeTint="BF"/>
    </w:rPr>
  </w:style>
  <w:style w:type="character" w:customStyle="1" w:styleId="QuoteChar">
    <w:name w:val="Quote Char"/>
    <w:basedOn w:val="DefaultParagraphFont"/>
    <w:link w:val="Quote"/>
    <w:uiPriority w:val="29"/>
    <w:rsid w:val="00C44610"/>
    <w:rPr>
      <w:i/>
      <w:iCs/>
      <w:color w:val="404040" w:themeColor="text1" w:themeTint="BF"/>
    </w:rPr>
  </w:style>
  <w:style w:type="paragraph" w:styleId="ListParagraph">
    <w:name w:val="List Paragraph"/>
    <w:basedOn w:val="Normal"/>
    <w:uiPriority w:val="34"/>
    <w:qFormat/>
    <w:rsid w:val="00C44610"/>
    <w:pPr>
      <w:ind w:left="720"/>
      <w:contextualSpacing/>
    </w:pPr>
  </w:style>
  <w:style w:type="character" w:styleId="IntenseEmphasis">
    <w:name w:val="Intense Emphasis"/>
    <w:basedOn w:val="DefaultParagraphFont"/>
    <w:uiPriority w:val="21"/>
    <w:qFormat/>
    <w:rsid w:val="00C44610"/>
    <w:rPr>
      <w:i/>
      <w:iCs/>
      <w:color w:val="0F4761" w:themeColor="accent1" w:themeShade="BF"/>
    </w:rPr>
  </w:style>
  <w:style w:type="paragraph" w:styleId="IntenseQuote">
    <w:name w:val="Intense Quote"/>
    <w:basedOn w:val="Normal"/>
    <w:next w:val="Normal"/>
    <w:link w:val="IntenseQuoteChar"/>
    <w:uiPriority w:val="30"/>
    <w:qFormat/>
    <w:rsid w:val="00C44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610"/>
    <w:rPr>
      <w:i/>
      <w:iCs/>
      <w:color w:val="0F4761" w:themeColor="accent1" w:themeShade="BF"/>
    </w:rPr>
  </w:style>
  <w:style w:type="character" w:styleId="IntenseReference">
    <w:name w:val="Intense Reference"/>
    <w:basedOn w:val="DefaultParagraphFont"/>
    <w:uiPriority w:val="32"/>
    <w:qFormat/>
    <w:rsid w:val="00C44610"/>
    <w:rPr>
      <w:b/>
      <w:bCs/>
      <w:smallCaps/>
      <w:color w:val="0F4761" w:themeColor="accent1" w:themeShade="BF"/>
      <w:spacing w:val="5"/>
    </w:rPr>
  </w:style>
  <w:style w:type="table" w:customStyle="1" w:styleId="EATable">
    <w:name w:val="EA Table"/>
    <w:basedOn w:val="TableGridLight"/>
    <w:uiPriority w:val="99"/>
    <w:rsid w:val="00C44610"/>
    <w:rPr>
      <w:rFonts w:cs="Times New Roman"/>
      <w:kern w:val="0"/>
      <w:sz w:val="20"/>
      <w:szCs w:val="20"/>
      <w:lang w:eastAsia="en-NZ"/>
      <w14:shadow w14:blurRad="0" w14:dist="0" w14:dir="0" w14:sx="0" w14:sy="0" w14:kx="0" w14:ky="0" w14:algn="ctr">
        <w14:srgbClr w14:val="000000"/>
      </w14:shadow>
      <w14:reflection w14:blurRad="0" w14:stA="100000" w14:stPos="0" w14:endA="0" w14:endPos="0" w14:dist="0" w14:dir="0" w14:fadeDir="0" w14:sx="0" w14:sy="0" w14:kx="0" w14:ky="0" w14:algn="b"/>
      <w14:ligatures w14:val="none"/>
    </w:rPr>
    <w:tblPr>
      <w:tblStyleRowBandSize w:val="1"/>
      <w:tblStyleColBandSize w:val="1"/>
      <w:tblInd w:w="595" w:type="dxa"/>
      <w:tblBorders>
        <w:top w:val="single" w:sz="4" w:space="0" w:color="002B49"/>
        <w:left w:val="single" w:sz="4" w:space="0" w:color="002B49"/>
        <w:bottom w:val="single" w:sz="4" w:space="0" w:color="002B49"/>
        <w:right w:val="single" w:sz="4" w:space="0" w:color="002B49"/>
        <w:insideH w:val="single" w:sz="4" w:space="0" w:color="002B49"/>
        <w:insideV w:val="single" w:sz="4" w:space="0" w:color="002B49"/>
      </w:tblBorders>
      <w:tblCellMar>
        <w:top w:w="28" w:type="dxa"/>
        <w:left w:w="45" w:type="dxa"/>
        <w:bottom w:w="28" w:type="dxa"/>
        <w:right w:w="28" w:type="dxa"/>
      </w:tblCellMar>
    </w:tblPr>
    <w:tcPr>
      <w:vAlign w:val="center"/>
    </w:tcPr>
    <w:tblStylePr w:type="firstRow">
      <w:pPr>
        <w:wordWrap/>
        <w:spacing w:beforeLines="0" w:before="0" w:beforeAutospacing="0" w:afterLines="0" w:after="0" w:afterAutospacing="0" w:line="240" w:lineRule="auto"/>
        <w:ind w:leftChars="0" w:left="0" w:rightChars="0" w:right="0"/>
        <w:contextualSpacing/>
        <w:mirrorIndents/>
        <w:jc w:val="left"/>
        <w:outlineLvl w:val="9"/>
      </w:pPr>
      <w:rPr>
        <w:rFonts w:ascii="Arial" w:hAnsi="Arial"/>
        <w:b/>
        <w:i w:val="0"/>
        <w:color w:val="FFFFFF"/>
        <w:sz w:val="19"/>
      </w:rPr>
      <w:tblPr/>
      <w:tcPr>
        <w:tcBorders>
          <w:top w:val="single" w:sz="4" w:space="0" w:color="002B49"/>
          <w:left w:val="single" w:sz="4" w:space="0" w:color="002B49"/>
          <w:bottom w:val="single" w:sz="4" w:space="0" w:color="002B49"/>
          <w:right w:val="single" w:sz="4" w:space="0" w:color="002B49"/>
          <w:insideH w:val="single" w:sz="4" w:space="0" w:color="002B49"/>
          <w:insideV w:val="single" w:sz="4" w:space="0" w:color="002B49"/>
          <w:tl2br w:val="nil"/>
          <w:tr2bl w:val="nil"/>
        </w:tcBorders>
        <w:shd w:val="clear" w:color="auto" w:fill="002B49"/>
        <w:tcMar>
          <w:top w:w="57" w:type="dxa"/>
          <w:left w:w="45" w:type="dxa"/>
          <w:bottom w:w="57" w:type="dxa"/>
          <w:right w:w="0" w:type="nil"/>
        </w:tcMar>
      </w:tcPr>
    </w:tblStylePr>
    <w:tblStylePr w:type="lastRow">
      <w:pPr>
        <w:wordWrap/>
        <w:spacing w:beforeLines="0" w:before="0" w:beforeAutospacing="0" w:afterLines="0" w:after="0" w:afterAutospacing="0" w:line="240" w:lineRule="auto"/>
        <w:ind w:leftChars="0" w:left="0" w:rightChars="0" w:right="0" w:firstLineChars="0" w:firstLine="0"/>
        <w:contextualSpacing/>
        <w:mirrorIndents/>
        <w:jc w:val="left"/>
        <w:outlineLvl w:val="9"/>
      </w:pPr>
      <w:rPr>
        <w:rFonts w:ascii="Arial" w:hAnsi="Arial"/>
        <w:i/>
        <w:iCs/>
        <w:sz w:val="18"/>
      </w:rPr>
      <w:tblPr/>
      <w:tcPr>
        <w:tcBorders>
          <w:tl2br w:val="none" w:sz="0" w:space="0" w:color="auto"/>
          <w:tr2bl w:val="none" w:sz="0" w:space="0" w:color="auto"/>
        </w:tcBorders>
        <w:tcMar>
          <w:top w:w="57" w:type="dxa"/>
          <w:left w:w="45" w:type="dxa"/>
          <w:bottom w:w="57" w:type="dxa"/>
          <w:right w:w="0" w:type="nil"/>
        </w:tcMar>
      </w:tcPr>
    </w:tblStylePr>
    <w:tblStylePr w:type="firstCol">
      <w:pPr>
        <w:wordWrap/>
        <w:spacing w:beforeLines="0" w:before="0" w:beforeAutospacing="0" w:afterLines="0" w:after="0" w:afterAutospacing="0" w:line="240" w:lineRule="auto"/>
        <w:ind w:leftChars="0" w:left="0" w:rightChars="0" w:right="0"/>
        <w:contextualSpacing/>
        <w:mirrorIndents/>
        <w:jc w:val="left"/>
        <w:outlineLvl w:val="9"/>
      </w:pPr>
      <w:rPr>
        <w:rFonts w:ascii="Arial" w:hAnsi="Arial"/>
        <w:b/>
        <w:i w:val="0"/>
        <w:color w:val="FFFFFF"/>
        <w:sz w:val="19"/>
      </w:rPr>
      <w:tblPr/>
      <w:tcPr>
        <w:shd w:val="clear" w:color="auto" w:fill="002B49"/>
        <w:tcMar>
          <w:top w:w="57" w:type="dxa"/>
          <w:left w:w="45" w:type="dxa"/>
          <w:bottom w:w="57" w:type="dxa"/>
          <w:right w:w="0" w:type="nil"/>
        </w:tcMar>
      </w:tcPr>
    </w:tblStylePr>
    <w:tblStylePr w:type="lastCol">
      <w:pPr>
        <w:wordWrap/>
        <w:spacing w:beforeLines="0" w:before="0" w:beforeAutospacing="0" w:afterLines="0" w:after="0" w:afterAutospacing="0" w:line="240" w:lineRule="auto"/>
        <w:ind w:leftChars="0" w:left="0" w:rightChars="0" w:right="0"/>
        <w:contextualSpacing/>
        <w:mirrorIndents/>
        <w:jc w:val="left"/>
        <w:outlineLvl w:val="9"/>
      </w:pPr>
      <w:rPr>
        <w:i/>
        <w:iCs/>
      </w:rPr>
      <w:tblPr/>
      <w:tcPr>
        <w:tcBorders>
          <w:tl2br w:val="none" w:sz="0" w:space="0" w:color="auto"/>
          <w:tr2bl w:val="none" w:sz="0" w:space="0" w:color="auto"/>
        </w:tcBorders>
      </w:tcPr>
    </w:tblStylePr>
    <w:tblStylePr w:type="band1Vert">
      <w:pPr>
        <w:wordWrap/>
        <w:spacing w:beforeLines="0" w:before="0" w:beforeAutospacing="0" w:afterLines="0" w:after="0" w:afterAutospacing="0" w:line="240" w:lineRule="auto"/>
        <w:ind w:leftChars="0" w:left="0" w:rightChars="0" w:right="0"/>
        <w:contextualSpacing/>
        <w:mirrorIndents/>
        <w:jc w:val="left"/>
        <w:outlineLvl w:val="9"/>
      </w:pPr>
    </w:tblStylePr>
    <w:tblStylePr w:type="band2Vert">
      <w:pPr>
        <w:wordWrap/>
        <w:spacing w:beforeLines="0" w:before="0" w:beforeAutospacing="0" w:afterLines="0" w:after="0" w:afterAutospacing="0" w:line="240" w:lineRule="auto"/>
        <w:ind w:leftChars="0" w:left="0" w:rightChars="0" w:right="0"/>
        <w:contextualSpacing/>
        <w:mirrorIndents/>
        <w:jc w:val="left"/>
        <w:outlineLvl w:val="9"/>
      </w:pPr>
    </w:tblStylePr>
    <w:tblStylePr w:type="band1Horz">
      <w:pPr>
        <w:wordWrap/>
        <w:spacing w:beforeLines="0" w:before="0" w:beforeAutospacing="0" w:afterLines="0" w:after="0" w:afterAutospacing="0" w:line="240" w:lineRule="auto"/>
        <w:ind w:leftChars="0" w:left="0" w:rightChars="0" w:right="0"/>
        <w:contextualSpacing/>
        <w:mirrorIndents/>
        <w:jc w:val="left"/>
        <w:outlineLvl w:val="9"/>
      </w:pPr>
      <w:rPr>
        <w:rFonts w:ascii="Arial" w:hAnsi="Arial"/>
        <w:color w:val="auto"/>
        <w:sz w:val="18"/>
      </w:rPr>
      <w:tblPr/>
      <w:tcPr>
        <w:shd w:val="clear" w:color="auto" w:fill="F5F5EE"/>
        <w:vAlign w:val="top"/>
      </w:tcPr>
    </w:tblStylePr>
    <w:tblStylePr w:type="band2Horz">
      <w:pPr>
        <w:wordWrap/>
        <w:spacing w:beforeLines="0" w:before="0" w:beforeAutospacing="0" w:afterLines="0" w:after="0" w:afterAutospacing="0" w:line="240" w:lineRule="auto"/>
        <w:ind w:leftChars="0" w:left="0" w:rightChars="0" w:right="0"/>
        <w:contextualSpacing/>
        <w:mirrorIndents/>
        <w:jc w:val="left"/>
        <w:outlineLvl w:val="9"/>
      </w:pPr>
      <w:rPr>
        <w:rFonts w:ascii="Arial" w:hAnsi="Arial"/>
        <w:color w:val="auto"/>
        <w:sz w:val="18"/>
      </w:rPr>
      <w:tblPr/>
      <w:tcPr>
        <w:shd w:val="clear" w:color="auto" w:fill="D7E1EF"/>
      </w:tcPr>
    </w:tblStylePr>
    <w:tblStylePr w:type="neCell">
      <w:pPr>
        <w:wordWrap/>
        <w:spacing w:beforeLines="0" w:before="0" w:beforeAutospacing="0" w:afterLines="0" w:after="0" w:afterAutospacing="0" w:line="240" w:lineRule="auto"/>
      </w:pPr>
    </w:tblStylePr>
  </w:style>
  <w:style w:type="table" w:styleId="TableGridLight">
    <w:name w:val="Grid Table Light"/>
    <w:basedOn w:val="TableNormal"/>
    <w:uiPriority w:val="40"/>
    <w:rsid w:val="00C446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70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647"/>
  </w:style>
  <w:style w:type="paragraph" w:styleId="Footer">
    <w:name w:val="footer"/>
    <w:basedOn w:val="Normal"/>
    <w:link w:val="FooterChar"/>
    <w:uiPriority w:val="99"/>
    <w:unhideWhenUsed/>
    <w:rsid w:val="00670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EF1E6EDC614A82A1167F500F293AA3"/>
        <w:category>
          <w:name w:val="General"/>
          <w:gallery w:val="placeholder"/>
        </w:category>
        <w:types>
          <w:type w:val="bbPlcHdr"/>
        </w:types>
        <w:behaviors>
          <w:behavior w:val="content"/>
        </w:behaviors>
        <w:guid w:val="{0FB933DF-142E-43E5-BFCE-6E8B13BD64DB}"/>
      </w:docPartPr>
      <w:docPartBody>
        <w:p w:rsidR="00863466" w:rsidRDefault="00967FD7" w:rsidP="00967FD7">
          <w:pPr>
            <w:pStyle w:val="E2EF1E6EDC614A82A1167F500F293AA3"/>
          </w:pPr>
          <w:r w:rsidRPr="006F33C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D7"/>
    <w:rsid w:val="0058281F"/>
    <w:rsid w:val="00863466"/>
    <w:rsid w:val="009016D0"/>
    <w:rsid w:val="00967FD7"/>
    <w:rsid w:val="00B43AC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7FD7"/>
    <w:rPr>
      <w:color w:val="666666"/>
    </w:rPr>
  </w:style>
  <w:style w:type="paragraph" w:customStyle="1" w:styleId="E2EF1E6EDC614A82A1167F500F293AA3">
    <w:name w:val="E2EF1E6EDC614A82A1167F500F293AA3"/>
    <w:rsid w:val="00967F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14d662c-557e-43a0-9ef4-ea4730eb3732}" enabled="1" method="Privileged" siteId="{01ce6efc-7935-414f-b831-2b1d356f92e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1637</Characters>
  <Application>Microsoft Office Word</Application>
  <DocSecurity>0</DocSecurity>
  <Lines>68</Lines>
  <Paragraphs>17</Paragraphs>
  <ScaleCrop>false</ScaleCrop>
  <HeadingPairs>
    <vt:vector size="2" baseType="variant">
      <vt:variant>
        <vt:lpstr>Title</vt:lpstr>
      </vt:variant>
      <vt:variant>
        <vt:i4>1</vt:i4>
      </vt:variant>
    </vt:vector>
  </HeadingPairs>
  <TitlesOfParts>
    <vt:vector size="1" baseType="lpstr">
      <vt:lpstr/>
    </vt:vector>
  </TitlesOfParts>
  <Company>Electricity Authority</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Naghmeh Kargozar</dc:creator>
  <cp:keywords/>
  <dc:description/>
  <cp:lastModifiedBy>Beth Lloyd</cp:lastModifiedBy>
  <cp:revision>2</cp:revision>
  <dcterms:created xsi:type="dcterms:W3CDTF">2026-09-30T21:51:00Z</dcterms:created>
  <dcterms:modified xsi:type="dcterms:W3CDTF">2026-09-30T21:51:00Z</dcterms:modified>
</cp:coreProperties>
</file>