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BE8F4" w14:textId="6685A255" w:rsidR="002F0E5E" w:rsidRPr="002F0E5E" w:rsidRDefault="002F0E5E" w:rsidP="002F0E5E">
      <w:pPr>
        <w:pStyle w:val="AAppendix"/>
        <w:numPr>
          <w:ilvl w:val="0"/>
          <w:numId w:val="0"/>
        </w:numPr>
        <w:spacing w:before="0"/>
        <w:ind w:right="0"/>
      </w:pPr>
      <w:bookmarkStart w:id="0" w:name="_Ref75694629"/>
      <w:bookmarkStart w:id="1" w:name="_Ref82791427"/>
      <w:bookmarkStart w:id="2" w:name="_Toc84509929"/>
      <w:bookmarkStart w:id="3" w:name="_GoBack"/>
      <w:bookmarkEnd w:id="3"/>
      <w:r>
        <w:t xml:space="preserve">Appendix B → </w:t>
      </w:r>
      <w:r w:rsidR="00150807" w:rsidRPr="009F5E1F">
        <w:t>Questions to assist submitters</w:t>
      </w:r>
      <w:bookmarkEnd w:id="0"/>
      <w:bookmarkEnd w:id="1"/>
      <w:bookmarkEnd w:id="2"/>
    </w:p>
    <w:p w14:paraId="30811407" w14:textId="77777777" w:rsidR="002F0E5E" w:rsidRPr="002F0E5E" w:rsidRDefault="002F0E5E" w:rsidP="002F0E5E">
      <w:pPr>
        <w:pStyle w:val="ListParagraph"/>
        <w:numPr>
          <w:ilvl w:val="0"/>
          <w:numId w:val="4"/>
        </w:numPr>
        <w:spacing w:before="120" w:after="120"/>
        <w:ind w:right="-6"/>
        <w:contextualSpacing w:val="0"/>
        <w:rPr>
          <w:rFonts w:cs="Arial"/>
          <w:vanish/>
        </w:rPr>
      </w:pPr>
    </w:p>
    <w:p w14:paraId="4A691A4B" w14:textId="77777777" w:rsidR="002F0E5E" w:rsidRPr="002F0E5E" w:rsidRDefault="002F0E5E" w:rsidP="002F0E5E">
      <w:pPr>
        <w:pStyle w:val="ListParagraph"/>
        <w:numPr>
          <w:ilvl w:val="0"/>
          <w:numId w:val="4"/>
        </w:numPr>
        <w:spacing w:before="120" w:after="120"/>
        <w:ind w:right="-6"/>
        <w:contextualSpacing w:val="0"/>
        <w:rPr>
          <w:rFonts w:cs="Arial"/>
          <w:vanish/>
        </w:rPr>
      </w:pPr>
    </w:p>
    <w:p w14:paraId="38C07D90" w14:textId="62EA1D0B" w:rsidR="00150807" w:rsidRPr="009F5E1F" w:rsidRDefault="00150807" w:rsidP="002F0E5E">
      <w:pPr>
        <w:pStyle w:val="11Paragraph"/>
        <w:numPr>
          <w:ilvl w:val="1"/>
          <w:numId w:val="4"/>
        </w:numPr>
      </w:pPr>
      <w:r w:rsidRPr="009F5E1F">
        <w:t xml:space="preserve">You are welcome to comment on any matter relevant to the Authority’s proposal. </w:t>
      </w:r>
    </w:p>
    <w:p w14:paraId="4B9DD714" w14:textId="77777777" w:rsidR="00150807" w:rsidRPr="009F5E1F" w:rsidRDefault="00150807" w:rsidP="00150807">
      <w:pPr>
        <w:pStyle w:val="11Paragraph"/>
        <w:numPr>
          <w:ilvl w:val="1"/>
          <w:numId w:val="4"/>
        </w:numPr>
      </w:pPr>
      <w:r w:rsidRPr="009F5E1F">
        <w:t xml:space="preserve">We have posed questions throughout the </w:t>
      </w:r>
      <w:r>
        <w:t>consultation paper</w:t>
      </w:r>
      <w:r w:rsidRPr="009F5E1F">
        <w:t xml:space="preserve"> </w:t>
      </w:r>
      <w:r>
        <w:t>and</w:t>
      </w:r>
      <w:r w:rsidRPr="009F5E1F">
        <w:t xml:space="preserve"> appendices to help prompt </w:t>
      </w:r>
      <w:r>
        <w:t xml:space="preserve">responses </w:t>
      </w:r>
      <w:r w:rsidRPr="009F5E1F">
        <w:t xml:space="preserve">to specific </w:t>
      </w:r>
      <w:r>
        <w:t>aspects of the proposal</w:t>
      </w:r>
      <w:r w:rsidRPr="009F5E1F">
        <w:t xml:space="preserve">. These are repeated here. </w:t>
      </w:r>
    </w:p>
    <w:p w14:paraId="0150E4F9" w14:textId="77777777" w:rsidR="00150807" w:rsidRDefault="00150807" w:rsidP="00150807">
      <w:pPr>
        <w:pStyle w:val="11Paragraph"/>
        <w:numPr>
          <w:ilvl w:val="1"/>
          <w:numId w:val="4"/>
        </w:numPr>
      </w:pPr>
      <w:r w:rsidRPr="009F5E1F">
        <w:t xml:space="preserve">Please do not feel you need to limit your responses to the consultation questions or that you need to answer </w:t>
      </w:r>
      <w:r>
        <w:t>a</w:t>
      </w:r>
      <w:r w:rsidRPr="009F5E1F">
        <w:t>ll</w:t>
      </w:r>
      <w:r>
        <w:t xml:space="preserve"> of them</w:t>
      </w:r>
      <w:r w:rsidRPr="009F5E1F">
        <w:t>.</w:t>
      </w:r>
      <w:r>
        <w:t xml:space="preserve"> </w:t>
      </w:r>
      <w:r w:rsidRPr="009F5E1F">
        <w:t xml:space="preserve"> Please explain your answers in terms consistent with the Authority’s statutory objective in section 15 of the Electricity Industry Act 2010.</w:t>
      </w:r>
      <w:r w:rsidDel="00EB6147">
        <w:t xml:space="preserve"> </w:t>
      </w:r>
    </w:p>
    <w:tbl>
      <w:tblPr>
        <w:tblStyle w:val="EADataTable"/>
        <w:tblW w:w="8363" w:type="dxa"/>
        <w:tblBorders>
          <w:top w:val="single" w:sz="4" w:space="0" w:color="auto"/>
          <w:bottom w:val="single" w:sz="4" w:space="0" w:color="D9D9D9" w:themeColor="background1" w:themeShade="D9"/>
          <w:insideH w:val="single" w:sz="4" w:space="0" w:color="D9D9D9" w:themeColor="background1" w:themeShade="D9"/>
        </w:tblBorders>
        <w:tblLook w:val="04A0" w:firstRow="1" w:lastRow="0" w:firstColumn="1" w:lastColumn="0" w:noHBand="0" w:noVBand="1"/>
      </w:tblPr>
      <w:tblGrid>
        <w:gridCol w:w="1171"/>
        <w:gridCol w:w="7192"/>
      </w:tblGrid>
      <w:tr w:rsidR="00150807" w14:paraId="7780DAAB" w14:textId="77777777" w:rsidTr="00350CBA">
        <w:trPr>
          <w:cnfStyle w:val="100000000000" w:firstRow="1" w:lastRow="0" w:firstColumn="0" w:lastColumn="0" w:oddVBand="0" w:evenVBand="0" w:oddHBand="0" w:evenHBand="0" w:firstRowFirstColumn="0" w:firstRowLastColumn="0" w:lastRowFirstColumn="0" w:lastRowLastColumn="0"/>
        </w:trPr>
        <w:tc>
          <w:tcPr>
            <w:tcW w:w="8363" w:type="dxa"/>
            <w:gridSpan w:val="2"/>
            <w:tcBorders>
              <w:bottom w:val="single" w:sz="4" w:space="0" w:color="D9D9D9" w:themeColor="background1" w:themeShade="D9"/>
            </w:tcBorders>
          </w:tcPr>
          <w:p w14:paraId="176CDB9B" w14:textId="77777777" w:rsidR="00150807" w:rsidRDefault="00150807" w:rsidP="00350CBA">
            <w:pPr>
              <w:pStyle w:val="TableBodyText"/>
              <w:rPr>
                <w:b/>
                <w:bCs/>
                <w:sz w:val="18"/>
                <w:szCs w:val="18"/>
              </w:rPr>
            </w:pPr>
            <w:r>
              <w:rPr>
                <w:b/>
                <w:bCs/>
                <w:sz w:val="18"/>
                <w:szCs w:val="18"/>
              </w:rPr>
              <w:t>The Authority welcomes feedback on any aspect of the proposals set out in this document, and comment, analysis and evidence on alternatives that would be consistent with the Guidelines and may better meet the Authority’s statutory objective. Without limiting the scope of feedback that we are seeking, we have set out some specific questions below.</w:t>
            </w:r>
          </w:p>
          <w:p w14:paraId="46319729" w14:textId="77777777" w:rsidR="00150807" w:rsidRDefault="00150807" w:rsidP="00350CBA">
            <w:pPr>
              <w:pStyle w:val="TableBodyText"/>
              <w:rPr>
                <w:b/>
                <w:bCs/>
                <w:sz w:val="18"/>
                <w:szCs w:val="18"/>
              </w:rPr>
            </w:pPr>
          </w:p>
        </w:tc>
      </w:tr>
      <w:tr w:rsidR="00150807" w14:paraId="4C72092E"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2551C151" w14:textId="77777777" w:rsidR="00150807" w:rsidRDefault="00150807" w:rsidP="00350CBA">
            <w:pPr>
              <w:pStyle w:val="TableBodyText"/>
              <w:rPr>
                <w:sz w:val="18"/>
                <w:szCs w:val="18"/>
              </w:rPr>
            </w:pPr>
            <w:r>
              <w:rPr>
                <w:b/>
                <w:bCs/>
                <w:sz w:val="18"/>
                <w:szCs w:val="18"/>
              </w:rPr>
              <w:t>Chapter 2 A new TPM</w:t>
            </w:r>
          </w:p>
        </w:tc>
      </w:tr>
      <w:tr w:rsidR="00150807" w14:paraId="5F0170B2" w14:textId="77777777" w:rsidTr="00350CBA">
        <w:tc>
          <w:tcPr>
            <w:tcW w:w="1171" w:type="dxa"/>
            <w:tcBorders>
              <w:top w:val="single" w:sz="4" w:space="0" w:color="D9D9D9" w:themeColor="background1" w:themeShade="D9"/>
              <w:left w:val="nil"/>
              <w:bottom w:val="single" w:sz="4" w:space="0" w:color="D9D9D9" w:themeColor="background1" w:themeShade="D9"/>
              <w:right w:val="nil"/>
            </w:tcBorders>
          </w:tcPr>
          <w:p w14:paraId="4DD711DC"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4ED51131" w14:textId="77777777" w:rsidR="00150807" w:rsidRDefault="00150807" w:rsidP="00350CBA">
            <w:pPr>
              <w:pStyle w:val="TableBodyText"/>
              <w:rPr>
                <w:sz w:val="18"/>
                <w:szCs w:val="18"/>
              </w:rPr>
            </w:pPr>
            <w:r>
              <w:rPr>
                <w:sz w:val="18"/>
                <w:szCs w:val="18"/>
              </w:rPr>
              <w:t>Do you have any comments on the content of this chapter?</w:t>
            </w:r>
          </w:p>
        </w:tc>
      </w:tr>
      <w:tr w:rsidR="00150807" w14:paraId="01714E85"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554D4C15" w14:textId="77777777" w:rsidR="00150807" w:rsidRDefault="00150807" w:rsidP="00350CBA">
            <w:pPr>
              <w:pStyle w:val="TableBodyText"/>
              <w:rPr>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116C9F4B" w14:textId="77777777" w:rsidR="00150807" w:rsidRDefault="00150807" w:rsidP="00350CBA">
            <w:pPr>
              <w:pStyle w:val="TableBodyText"/>
              <w:rPr>
                <w:sz w:val="18"/>
                <w:szCs w:val="18"/>
              </w:rPr>
            </w:pPr>
          </w:p>
          <w:p w14:paraId="0F27B5AC" w14:textId="77777777" w:rsidR="00150807" w:rsidRDefault="00150807" w:rsidP="00350CBA">
            <w:pPr>
              <w:pStyle w:val="TableBodyText"/>
              <w:rPr>
                <w:sz w:val="18"/>
                <w:szCs w:val="18"/>
              </w:rPr>
            </w:pPr>
          </w:p>
        </w:tc>
      </w:tr>
      <w:tr w:rsidR="00150807" w14:paraId="49976B7C"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72DDFF48" w14:textId="77777777" w:rsidR="00150807" w:rsidRDefault="00150807" w:rsidP="00350CBA">
            <w:pPr>
              <w:pStyle w:val="TableBodyText"/>
              <w:rPr>
                <w:b/>
                <w:bCs/>
                <w:sz w:val="18"/>
                <w:szCs w:val="18"/>
              </w:rPr>
            </w:pPr>
            <w:r>
              <w:rPr>
                <w:b/>
                <w:bCs/>
                <w:sz w:val="18"/>
                <w:szCs w:val="18"/>
              </w:rPr>
              <w:t>Chapter 3 Grid asset classification</w:t>
            </w:r>
          </w:p>
        </w:tc>
      </w:tr>
      <w:tr w:rsidR="00150807" w14:paraId="4E28C957" w14:textId="77777777" w:rsidTr="00350CBA">
        <w:tc>
          <w:tcPr>
            <w:tcW w:w="1171" w:type="dxa"/>
            <w:tcBorders>
              <w:top w:val="single" w:sz="4" w:space="0" w:color="D9D9D9" w:themeColor="background1" w:themeShade="D9"/>
              <w:left w:val="nil"/>
              <w:bottom w:val="single" w:sz="4" w:space="0" w:color="D9D9D9" w:themeColor="background1" w:themeShade="D9"/>
              <w:right w:val="nil"/>
            </w:tcBorders>
          </w:tcPr>
          <w:p w14:paraId="510362DD"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09F4AAEE" w14:textId="77777777" w:rsidR="00150807" w:rsidRDefault="00150807" w:rsidP="00350CBA">
            <w:pPr>
              <w:pStyle w:val="TableBodyText"/>
              <w:rPr>
                <w:sz w:val="18"/>
                <w:szCs w:val="18"/>
              </w:rPr>
            </w:pPr>
            <w:r>
              <w:rPr>
                <w:sz w:val="18"/>
                <w:szCs w:val="18"/>
              </w:rPr>
              <w:t>Do you agree with the proposed approach to treat connection assets as interconnection assets for a limited time if the assets will ultimately be interconnection assets when fully commissioned?</w:t>
            </w:r>
          </w:p>
          <w:p w14:paraId="0A4E1C7E" w14:textId="77777777" w:rsidR="00150807" w:rsidRDefault="00150807" w:rsidP="00350CBA">
            <w:pPr>
              <w:pStyle w:val="TableBodyText"/>
              <w:rPr>
                <w:sz w:val="18"/>
                <w:szCs w:val="18"/>
              </w:rPr>
            </w:pPr>
            <w:r>
              <w:rPr>
                <w:sz w:val="18"/>
                <w:szCs w:val="18"/>
              </w:rPr>
              <w:t>Do you agree with the proposed reclassification power? Should there be any further conditions on Transpower’s use of this discretion?</w:t>
            </w:r>
          </w:p>
          <w:p w14:paraId="71A7D1CE" w14:textId="77777777" w:rsidR="00150807" w:rsidRDefault="00150807" w:rsidP="00350CBA">
            <w:pPr>
              <w:pStyle w:val="TableBodyText"/>
              <w:rPr>
                <w:sz w:val="18"/>
                <w:szCs w:val="18"/>
              </w:rPr>
            </w:pPr>
            <w:r>
              <w:rPr>
                <w:sz w:val="18"/>
                <w:szCs w:val="18"/>
              </w:rPr>
              <w:t>Do you have any other feedback on Grid Asset Classification in the proposed TPM?</w:t>
            </w:r>
          </w:p>
        </w:tc>
      </w:tr>
      <w:tr w:rsidR="00150807" w14:paraId="64A8EFC7"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0DC0F20A" w14:textId="77777777" w:rsidR="00150807" w:rsidRDefault="00150807" w:rsidP="00350CBA">
            <w:pPr>
              <w:pStyle w:val="TableBodyText"/>
              <w:rPr>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3E121E88" w14:textId="77777777" w:rsidR="00150807" w:rsidRDefault="00150807" w:rsidP="00350CBA">
            <w:pPr>
              <w:pStyle w:val="TableBodyText"/>
              <w:rPr>
                <w:sz w:val="18"/>
                <w:szCs w:val="18"/>
              </w:rPr>
            </w:pPr>
          </w:p>
          <w:p w14:paraId="582A2A63" w14:textId="77777777" w:rsidR="00150807" w:rsidRDefault="00150807" w:rsidP="00350CBA">
            <w:pPr>
              <w:pStyle w:val="TableBodyText"/>
              <w:rPr>
                <w:sz w:val="18"/>
                <w:szCs w:val="18"/>
              </w:rPr>
            </w:pPr>
          </w:p>
        </w:tc>
      </w:tr>
      <w:tr w:rsidR="00150807" w14:paraId="66445291"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4003A100" w14:textId="77777777" w:rsidR="00150807" w:rsidRDefault="00150807" w:rsidP="00350CBA">
            <w:pPr>
              <w:pStyle w:val="TableBodyText"/>
              <w:rPr>
                <w:sz w:val="18"/>
                <w:szCs w:val="18"/>
              </w:rPr>
            </w:pPr>
            <w:r>
              <w:rPr>
                <w:b/>
                <w:bCs/>
                <w:sz w:val="18"/>
                <w:szCs w:val="18"/>
              </w:rPr>
              <w:t>Chapter 4 Connection charges</w:t>
            </w:r>
          </w:p>
        </w:tc>
      </w:tr>
      <w:tr w:rsidR="00150807" w14:paraId="355A9F2A" w14:textId="77777777" w:rsidTr="00350CBA">
        <w:tc>
          <w:tcPr>
            <w:tcW w:w="1171" w:type="dxa"/>
            <w:tcBorders>
              <w:top w:val="single" w:sz="4" w:space="0" w:color="D9D9D9" w:themeColor="background1" w:themeShade="D9"/>
              <w:left w:val="nil"/>
              <w:bottom w:val="single" w:sz="4" w:space="0" w:color="D9D9D9" w:themeColor="background1" w:themeShade="D9"/>
              <w:right w:val="nil"/>
            </w:tcBorders>
          </w:tcPr>
          <w:p w14:paraId="66206F26" w14:textId="77777777" w:rsidR="00150807" w:rsidRDefault="00150807" w:rsidP="00350CBA">
            <w:pPr>
              <w:pStyle w:val="TableBodyText"/>
              <w:rPr>
                <w:b/>
                <w:bCs/>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0554E2EB" w14:textId="77777777" w:rsidR="00150807" w:rsidRDefault="00150807" w:rsidP="00350CBA">
            <w:pPr>
              <w:pStyle w:val="TableBodyText"/>
              <w:rPr>
                <w:sz w:val="18"/>
                <w:szCs w:val="18"/>
              </w:rPr>
            </w:pPr>
            <w:r>
              <w:rPr>
                <w:sz w:val="18"/>
                <w:szCs w:val="18"/>
              </w:rPr>
              <w:t>Do you agree that the proposed TPM should specify that connection asset replacement values be regularly updated to promote cost-reflective charges and certainty?</w:t>
            </w:r>
          </w:p>
          <w:p w14:paraId="24920A3E" w14:textId="77777777" w:rsidR="00150807" w:rsidRDefault="00150807" w:rsidP="00350CBA">
            <w:pPr>
              <w:pStyle w:val="TableBodyText"/>
              <w:rPr>
                <w:sz w:val="18"/>
                <w:szCs w:val="18"/>
              </w:rPr>
            </w:pPr>
            <w:r>
              <w:rPr>
                <w:sz w:val="18"/>
                <w:szCs w:val="18"/>
              </w:rPr>
              <w:t xml:space="preserve">Do you have any comment on the proposed approaches to address first mover disadvantage issues, including </w:t>
            </w:r>
            <w:proofErr w:type="gramStart"/>
            <w:r>
              <w:rPr>
                <w:sz w:val="18"/>
                <w:szCs w:val="18"/>
              </w:rPr>
              <w:t>on:</w:t>
            </w:r>
            <w:proofErr w:type="gramEnd"/>
          </w:p>
          <w:p w14:paraId="119FC132" w14:textId="77777777" w:rsidR="00150807" w:rsidRDefault="00150807" w:rsidP="00150807">
            <w:pPr>
              <w:pStyle w:val="TableBodyText"/>
              <w:numPr>
                <w:ilvl w:val="0"/>
                <w:numId w:val="5"/>
              </w:numPr>
              <w:spacing w:before="40" w:after="60"/>
              <w:ind w:right="0"/>
              <w:rPr>
                <w:sz w:val="18"/>
                <w:szCs w:val="18"/>
              </w:rPr>
            </w:pPr>
            <w:r>
              <w:rPr>
                <w:sz w:val="18"/>
                <w:szCs w:val="18"/>
              </w:rPr>
              <w:t>the proposed FAC mechanism for Type 1 FMD</w:t>
            </w:r>
          </w:p>
          <w:p w14:paraId="38C35862" w14:textId="77777777" w:rsidR="00150807" w:rsidRDefault="00150807" w:rsidP="00150807">
            <w:pPr>
              <w:pStyle w:val="TableBodyText"/>
              <w:numPr>
                <w:ilvl w:val="0"/>
                <w:numId w:val="5"/>
              </w:numPr>
              <w:spacing w:before="40" w:after="60"/>
              <w:ind w:right="0"/>
              <w:rPr>
                <w:sz w:val="18"/>
                <w:szCs w:val="18"/>
              </w:rPr>
            </w:pPr>
            <w:r>
              <w:rPr>
                <w:sz w:val="18"/>
                <w:szCs w:val="18"/>
              </w:rPr>
              <w:t>the alternative option of an upper limit on application of the benefit-based approach for Type 2 FMD</w:t>
            </w:r>
          </w:p>
          <w:p w14:paraId="39226A70" w14:textId="77777777" w:rsidR="00150807" w:rsidRPr="004810AB" w:rsidRDefault="00150807" w:rsidP="00150807">
            <w:pPr>
              <w:pStyle w:val="TableBodyText"/>
              <w:numPr>
                <w:ilvl w:val="0"/>
                <w:numId w:val="5"/>
              </w:numPr>
              <w:spacing w:before="40" w:after="60"/>
              <w:ind w:right="0"/>
              <w:rPr>
                <w:sz w:val="18"/>
                <w:szCs w:val="18"/>
              </w:rPr>
            </w:pPr>
            <w:r>
              <w:rPr>
                <w:sz w:val="18"/>
                <w:szCs w:val="18"/>
              </w:rPr>
              <w:t>the approach to applying ‘above-limit costs’ under this alternative option?</w:t>
            </w:r>
          </w:p>
          <w:p w14:paraId="785A256C" w14:textId="77777777" w:rsidR="00150807" w:rsidRDefault="00150807" w:rsidP="00350CBA">
            <w:pPr>
              <w:pStyle w:val="TableBodyText"/>
              <w:rPr>
                <w:sz w:val="18"/>
                <w:szCs w:val="18"/>
              </w:rPr>
            </w:pPr>
            <w:r>
              <w:rPr>
                <w:sz w:val="18"/>
                <w:szCs w:val="18"/>
              </w:rPr>
              <w:t>Do you have any other feedback on the proposed TPM in relation to connection charges?</w:t>
            </w:r>
          </w:p>
        </w:tc>
      </w:tr>
      <w:tr w:rsidR="00150807" w14:paraId="01CE6D03"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7098DCB5"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3357EC6A" w14:textId="77777777" w:rsidR="00150807" w:rsidRDefault="00150807" w:rsidP="00350CBA">
            <w:pPr>
              <w:pStyle w:val="TableBodyText"/>
              <w:rPr>
                <w:sz w:val="18"/>
                <w:szCs w:val="18"/>
              </w:rPr>
            </w:pPr>
          </w:p>
          <w:p w14:paraId="4F155E45" w14:textId="77777777" w:rsidR="00150807" w:rsidRDefault="00150807" w:rsidP="00350CBA">
            <w:pPr>
              <w:pStyle w:val="TableBodyText"/>
              <w:rPr>
                <w:sz w:val="18"/>
                <w:szCs w:val="18"/>
              </w:rPr>
            </w:pPr>
          </w:p>
        </w:tc>
      </w:tr>
      <w:tr w:rsidR="00150807" w14:paraId="093C16C8"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6738CDCD" w14:textId="77777777" w:rsidR="00150807" w:rsidRDefault="00150807" w:rsidP="00350CBA">
            <w:pPr>
              <w:pStyle w:val="TableBodyText"/>
              <w:rPr>
                <w:sz w:val="18"/>
                <w:szCs w:val="18"/>
              </w:rPr>
            </w:pPr>
            <w:r>
              <w:rPr>
                <w:b/>
                <w:bCs/>
                <w:sz w:val="18"/>
                <w:szCs w:val="18"/>
              </w:rPr>
              <w:lastRenderedPageBreak/>
              <w:t>Chapter 5 Benefit-based charges: allocation</w:t>
            </w:r>
          </w:p>
        </w:tc>
      </w:tr>
      <w:tr w:rsidR="00150807" w14:paraId="4F8BA0B7" w14:textId="77777777" w:rsidTr="00350CBA">
        <w:tc>
          <w:tcPr>
            <w:tcW w:w="1171" w:type="dxa"/>
            <w:tcBorders>
              <w:top w:val="single" w:sz="4" w:space="0" w:color="D9D9D9" w:themeColor="background1" w:themeShade="D9"/>
              <w:left w:val="nil"/>
              <w:bottom w:val="single" w:sz="4" w:space="0" w:color="D9D9D9" w:themeColor="background1" w:themeShade="D9"/>
              <w:right w:val="nil"/>
            </w:tcBorders>
          </w:tcPr>
          <w:p w14:paraId="6142B0F3"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568B4041" w14:textId="77777777" w:rsidR="00150807" w:rsidRDefault="00150807" w:rsidP="00350CBA">
            <w:pPr>
              <w:pStyle w:val="TableBodyText"/>
              <w:rPr>
                <w:sz w:val="18"/>
                <w:szCs w:val="18"/>
              </w:rPr>
            </w:pPr>
            <w:r>
              <w:rPr>
                <w:sz w:val="18"/>
                <w:szCs w:val="18"/>
              </w:rPr>
              <w:t>Do you have any comment on the proposed standard and simple benefit-based allocation methods?</w:t>
            </w:r>
          </w:p>
          <w:p w14:paraId="372CDF9F" w14:textId="77777777" w:rsidR="00150807" w:rsidRDefault="00150807" w:rsidP="00350CBA">
            <w:pPr>
              <w:pStyle w:val="TableBodyText"/>
              <w:rPr>
                <w:sz w:val="18"/>
                <w:szCs w:val="18"/>
              </w:rPr>
            </w:pPr>
            <w:r>
              <w:rPr>
                <w:sz w:val="18"/>
                <w:szCs w:val="18"/>
              </w:rPr>
              <w:t>Do you have any comment or additional evidence on the proposed weighting of benefits between load and generation customers under the simple method, or with respect to the proposed review of the allocation?</w:t>
            </w:r>
          </w:p>
        </w:tc>
      </w:tr>
      <w:tr w:rsidR="00150807" w14:paraId="187B1833"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3AA17109"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5E7A36F7" w14:textId="77777777" w:rsidR="00150807" w:rsidRDefault="00150807" w:rsidP="00350CBA">
            <w:pPr>
              <w:pStyle w:val="TableBodyText"/>
              <w:rPr>
                <w:sz w:val="18"/>
                <w:szCs w:val="18"/>
              </w:rPr>
            </w:pPr>
          </w:p>
          <w:p w14:paraId="119B93A0" w14:textId="77777777" w:rsidR="00150807" w:rsidRDefault="00150807" w:rsidP="00350CBA">
            <w:pPr>
              <w:pStyle w:val="TableBodyText"/>
              <w:rPr>
                <w:sz w:val="18"/>
                <w:szCs w:val="18"/>
              </w:rPr>
            </w:pPr>
          </w:p>
        </w:tc>
      </w:tr>
      <w:tr w:rsidR="00150807" w14:paraId="7AC74689"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455C2369" w14:textId="77777777" w:rsidR="00150807" w:rsidRDefault="00150807" w:rsidP="00350CBA">
            <w:pPr>
              <w:pStyle w:val="TableBodyText"/>
              <w:rPr>
                <w:sz w:val="18"/>
                <w:szCs w:val="18"/>
              </w:rPr>
            </w:pPr>
            <w:r>
              <w:rPr>
                <w:b/>
                <w:bCs/>
                <w:sz w:val="18"/>
                <w:szCs w:val="18"/>
              </w:rPr>
              <w:t>Chapter 6 Benefit-based charges: covered costs</w:t>
            </w:r>
          </w:p>
        </w:tc>
      </w:tr>
      <w:tr w:rsidR="00150807" w14:paraId="6154D059"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49E9FC57"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30827823" w14:textId="77777777" w:rsidR="00150807" w:rsidRDefault="00150807" w:rsidP="00350CBA">
            <w:pPr>
              <w:pStyle w:val="TableBodyText"/>
              <w:rPr>
                <w:sz w:val="18"/>
                <w:szCs w:val="18"/>
              </w:rPr>
            </w:pPr>
            <w:r>
              <w:rPr>
                <w:sz w:val="18"/>
                <w:szCs w:val="18"/>
              </w:rPr>
              <w:t xml:space="preserve">Do you have any comment on the proposed approach to covered costs, including </w:t>
            </w:r>
            <w:proofErr w:type="gramStart"/>
            <w:r>
              <w:rPr>
                <w:sz w:val="18"/>
                <w:szCs w:val="18"/>
              </w:rPr>
              <w:t>on:</w:t>
            </w:r>
            <w:proofErr w:type="gramEnd"/>
          </w:p>
          <w:p w14:paraId="1847AB16" w14:textId="77777777" w:rsidR="00150807" w:rsidRDefault="00150807" w:rsidP="00150807">
            <w:pPr>
              <w:pStyle w:val="TableBodyText"/>
              <w:numPr>
                <w:ilvl w:val="0"/>
                <w:numId w:val="6"/>
              </w:numPr>
              <w:spacing w:before="40" w:after="60"/>
              <w:ind w:right="0"/>
              <w:rPr>
                <w:sz w:val="18"/>
                <w:szCs w:val="18"/>
              </w:rPr>
            </w:pPr>
            <w:r>
              <w:rPr>
                <w:sz w:val="18"/>
                <w:szCs w:val="18"/>
              </w:rPr>
              <w:t xml:space="preserve">whether overhead </w:t>
            </w:r>
            <w:proofErr w:type="spellStart"/>
            <w:r>
              <w:rPr>
                <w:sz w:val="18"/>
                <w:szCs w:val="18"/>
              </w:rPr>
              <w:t>opex</w:t>
            </w:r>
            <w:proofErr w:type="spellEnd"/>
            <w:r>
              <w:rPr>
                <w:sz w:val="18"/>
                <w:szCs w:val="18"/>
              </w:rPr>
              <w:t xml:space="preserve"> should be recovered through the BBC or residual charge, and any evidence to support your view?</w:t>
            </w:r>
          </w:p>
          <w:p w14:paraId="107B32B4" w14:textId="77777777" w:rsidR="00150807" w:rsidRDefault="00150807" w:rsidP="00150807">
            <w:pPr>
              <w:pStyle w:val="TableBodyText"/>
              <w:numPr>
                <w:ilvl w:val="0"/>
                <w:numId w:val="6"/>
              </w:numPr>
              <w:spacing w:before="40" w:after="60"/>
              <w:ind w:right="0"/>
              <w:rPr>
                <w:sz w:val="18"/>
                <w:szCs w:val="18"/>
              </w:rPr>
            </w:pPr>
            <w:r>
              <w:rPr>
                <w:sz w:val="18"/>
                <w:szCs w:val="18"/>
              </w:rPr>
              <w:t xml:space="preserve">the recovery of </w:t>
            </w:r>
            <w:proofErr w:type="spellStart"/>
            <w:r>
              <w:rPr>
                <w:sz w:val="18"/>
                <w:szCs w:val="18"/>
              </w:rPr>
              <w:t>opex</w:t>
            </w:r>
            <w:proofErr w:type="spellEnd"/>
            <w:r>
              <w:rPr>
                <w:sz w:val="18"/>
                <w:szCs w:val="18"/>
              </w:rPr>
              <w:t xml:space="preserve"> on fully depreciated assets through the residual charge?</w:t>
            </w:r>
          </w:p>
        </w:tc>
      </w:tr>
      <w:tr w:rsidR="00150807" w14:paraId="1321DAD7"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0DC9BF93"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0FC72AB2" w14:textId="77777777" w:rsidR="00150807" w:rsidRDefault="00150807" w:rsidP="00350CBA">
            <w:pPr>
              <w:pStyle w:val="TableBodyText"/>
              <w:rPr>
                <w:sz w:val="18"/>
                <w:szCs w:val="18"/>
              </w:rPr>
            </w:pPr>
          </w:p>
          <w:p w14:paraId="66BD9C4B" w14:textId="77777777" w:rsidR="00150807" w:rsidRDefault="00150807" w:rsidP="00350CBA">
            <w:pPr>
              <w:pStyle w:val="TableBodyText"/>
              <w:rPr>
                <w:sz w:val="18"/>
                <w:szCs w:val="18"/>
              </w:rPr>
            </w:pPr>
          </w:p>
        </w:tc>
      </w:tr>
      <w:tr w:rsidR="00150807" w14:paraId="50F9167D"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14D52BAC" w14:textId="77777777" w:rsidR="00150807" w:rsidRDefault="00150807" w:rsidP="00350CBA">
            <w:pPr>
              <w:pStyle w:val="TableBodyText"/>
              <w:rPr>
                <w:sz w:val="18"/>
                <w:szCs w:val="18"/>
              </w:rPr>
            </w:pPr>
            <w:r>
              <w:rPr>
                <w:b/>
                <w:bCs/>
                <w:sz w:val="18"/>
                <w:szCs w:val="18"/>
              </w:rPr>
              <w:t>Chapter 7 Residual charges</w:t>
            </w:r>
          </w:p>
        </w:tc>
      </w:tr>
      <w:tr w:rsidR="00150807" w14:paraId="5A5218D5"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7EE08B4E"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074D1DA2" w14:textId="77777777" w:rsidR="00150807" w:rsidRDefault="00150807" w:rsidP="00350CBA">
            <w:pPr>
              <w:pStyle w:val="TableBodyText"/>
              <w:rPr>
                <w:sz w:val="18"/>
                <w:szCs w:val="18"/>
              </w:rPr>
            </w:pPr>
            <w:r>
              <w:rPr>
                <w:sz w:val="18"/>
                <w:szCs w:val="18"/>
              </w:rPr>
              <w:t>Do you have any comment on how the proposed TPM implements the residual charge provided for in the Guidelines?</w:t>
            </w:r>
          </w:p>
          <w:p w14:paraId="347691B7" w14:textId="77777777" w:rsidR="00150807" w:rsidRDefault="00150807" w:rsidP="00350CBA">
            <w:pPr>
              <w:pStyle w:val="TableBodyText"/>
              <w:rPr>
                <w:sz w:val="18"/>
                <w:szCs w:val="18"/>
              </w:rPr>
            </w:pPr>
            <w:r>
              <w:rPr>
                <w:sz w:val="18"/>
                <w:szCs w:val="18"/>
              </w:rPr>
              <w:t>Do you agree with the application of the residual charge to generation with embedded load, or can you suggest a better way to mitigate charge avoidance incentives and risk of an uneven playing field?</w:t>
            </w:r>
          </w:p>
          <w:p w14:paraId="43C0E65B" w14:textId="77777777" w:rsidR="00150807" w:rsidRDefault="00150807" w:rsidP="00350CBA">
            <w:pPr>
              <w:pStyle w:val="TableBodyText"/>
              <w:rPr>
                <w:sz w:val="18"/>
                <w:szCs w:val="18"/>
              </w:rPr>
            </w:pPr>
            <w:r>
              <w:rPr>
                <w:sz w:val="18"/>
                <w:szCs w:val="18"/>
              </w:rPr>
              <w:t xml:space="preserve">Do you have any comment on the proposed approach to application of the residual charge to battery storage to avoid double-counting of load? </w:t>
            </w:r>
          </w:p>
        </w:tc>
      </w:tr>
      <w:tr w:rsidR="00150807" w14:paraId="104E391C"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1A8F932D"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110DD920" w14:textId="77777777" w:rsidR="00150807" w:rsidRDefault="00150807" w:rsidP="00350CBA">
            <w:pPr>
              <w:pStyle w:val="TableBodyText"/>
              <w:rPr>
                <w:sz w:val="18"/>
                <w:szCs w:val="18"/>
              </w:rPr>
            </w:pPr>
          </w:p>
          <w:p w14:paraId="5B4F67CE" w14:textId="77777777" w:rsidR="00150807" w:rsidRDefault="00150807" w:rsidP="00350CBA">
            <w:pPr>
              <w:pStyle w:val="TableBodyText"/>
              <w:rPr>
                <w:sz w:val="18"/>
                <w:szCs w:val="18"/>
              </w:rPr>
            </w:pPr>
          </w:p>
        </w:tc>
      </w:tr>
      <w:tr w:rsidR="00150807" w14:paraId="05429570"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23F19089" w14:textId="77777777" w:rsidR="00150807" w:rsidRDefault="00150807" w:rsidP="00350CBA">
            <w:pPr>
              <w:pStyle w:val="TableBodyText"/>
              <w:rPr>
                <w:sz w:val="18"/>
                <w:szCs w:val="18"/>
              </w:rPr>
            </w:pPr>
            <w:r>
              <w:rPr>
                <w:b/>
                <w:bCs/>
                <w:sz w:val="18"/>
                <w:szCs w:val="18"/>
              </w:rPr>
              <w:t>Chapter 8 Adjustments</w:t>
            </w:r>
          </w:p>
        </w:tc>
      </w:tr>
      <w:tr w:rsidR="00150807" w14:paraId="2051830F"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666BAFF8"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4C4AA578" w14:textId="77777777" w:rsidR="00150807" w:rsidRDefault="00150807" w:rsidP="00350CBA">
            <w:pPr>
              <w:pStyle w:val="TableBodyText"/>
              <w:rPr>
                <w:sz w:val="18"/>
                <w:szCs w:val="18"/>
              </w:rPr>
            </w:pPr>
            <w:r>
              <w:rPr>
                <w:sz w:val="18"/>
                <w:szCs w:val="18"/>
              </w:rPr>
              <w:t>Do you agree with or have any other feedback on the proposed provisions for adjusting transmission charges?</w:t>
            </w:r>
          </w:p>
          <w:p w14:paraId="66BAC768" w14:textId="77777777" w:rsidR="00150807" w:rsidRDefault="00150807" w:rsidP="00350CBA">
            <w:pPr>
              <w:pStyle w:val="TableBodyText"/>
              <w:rPr>
                <w:sz w:val="18"/>
                <w:szCs w:val="18"/>
              </w:rPr>
            </w:pPr>
            <w:r>
              <w:rPr>
                <w:sz w:val="18"/>
                <w:szCs w:val="18"/>
              </w:rPr>
              <w:t>The Authority welcomes feedback on any aspect discussed or proposed in this chapter, including whether:</w:t>
            </w:r>
          </w:p>
          <w:p w14:paraId="2680C051" w14:textId="77777777" w:rsidR="00150807" w:rsidRDefault="00150807" w:rsidP="00150807">
            <w:pPr>
              <w:pStyle w:val="TableBodyText"/>
              <w:numPr>
                <w:ilvl w:val="0"/>
                <w:numId w:val="9"/>
              </w:numPr>
              <w:spacing w:before="40" w:after="60"/>
              <w:ind w:right="0"/>
              <w:rPr>
                <w:sz w:val="18"/>
                <w:szCs w:val="18"/>
              </w:rPr>
            </w:pPr>
            <w:r>
              <w:rPr>
                <w:sz w:val="18"/>
                <w:szCs w:val="18"/>
              </w:rPr>
              <w:t xml:space="preserve">the proposed TPM should provide more detail on the method for determining new entrants’ benefits </w:t>
            </w:r>
          </w:p>
          <w:p w14:paraId="345EAD9B" w14:textId="77777777" w:rsidR="00150807" w:rsidRDefault="00150807" w:rsidP="00150807">
            <w:pPr>
              <w:pStyle w:val="TableBodyText"/>
              <w:numPr>
                <w:ilvl w:val="0"/>
                <w:numId w:val="9"/>
              </w:numPr>
              <w:spacing w:before="40" w:after="60"/>
              <w:ind w:right="0"/>
              <w:rPr>
                <w:sz w:val="18"/>
                <w:szCs w:val="18"/>
              </w:rPr>
            </w:pPr>
            <w:r>
              <w:rPr>
                <w:sz w:val="18"/>
                <w:szCs w:val="18"/>
              </w:rPr>
              <w:t>the charges for a new entrant should be the same as an equivalent incumbent each year (as in the proposed TPM), on a whole-of-life basis as in the Guidelines</w:t>
            </w:r>
          </w:p>
          <w:p w14:paraId="2F36E668" w14:textId="77777777" w:rsidR="00150807" w:rsidRDefault="00150807" w:rsidP="00150807">
            <w:pPr>
              <w:pStyle w:val="TableBodyText"/>
              <w:numPr>
                <w:ilvl w:val="0"/>
                <w:numId w:val="9"/>
              </w:numPr>
              <w:spacing w:before="40" w:after="60"/>
              <w:ind w:right="0"/>
              <w:rPr>
                <w:sz w:val="18"/>
                <w:szCs w:val="18"/>
              </w:rPr>
            </w:pPr>
            <w:r>
              <w:rPr>
                <w:sz w:val="18"/>
                <w:szCs w:val="18"/>
              </w:rPr>
              <w:t>the proposed thresholds for ‘large’ and ‘substantial sustained’ change in grid use are appropriate</w:t>
            </w:r>
          </w:p>
          <w:p w14:paraId="6831E81D" w14:textId="77777777" w:rsidR="00150807" w:rsidRDefault="00150807" w:rsidP="00150807">
            <w:pPr>
              <w:pStyle w:val="TableBodyText"/>
              <w:numPr>
                <w:ilvl w:val="0"/>
                <w:numId w:val="9"/>
              </w:numPr>
              <w:spacing w:before="40" w:after="60"/>
              <w:ind w:right="0"/>
              <w:rPr>
                <w:sz w:val="18"/>
                <w:szCs w:val="18"/>
              </w:rPr>
            </w:pPr>
            <w:r>
              <w:rPr>
                <w:sz w:val="18"/>
                <w:szCs w:val="18"/>
              </w:rPr>
              <w:t>the connection of a distributor to a new (and additional) GXP and the upgrading of a transformer at a distributor’s GXP should be adjustment events</w:t>
            </w:r>
          </w:p>
          <w:p w14:paraId="5DA2938C" w14:textId="77777777" w:rsidR="00150807" w:rsidRDefault="00150807" w:rsidP="00150807">
            <w:pPr>
              <w:pStyle w:val="TableBodyText"/>
              <w:numPr>
                <w:ilvl w:val="0"/>
                <w:numId w:val="9"/>
              </w:numPr>
              <w:spacing w:before="40" w:after="60"/>
              <w:ind w:right="0"/>
              <w:rPr>
                <w:sz w:val="18"/>
                <w:szCs w:val="18"/>
              </w:rPr>
            </w:pPr>
            <w:r>
              <w:rPr>
                <w:sz w:val="18"/>
                <w:szCs w:val="18"/>
              </w:rPr>
              <w:t>the plant disconnection provision should be extended to plant de-rating</w:t>
            </w:r>
          </w:p>
          <w:p w14:paraId="41035B18" w14:textId="77777777" w:rsidR="00150807" w:rsidRDefault="00150807" w:rsidP="00150807">
            <w:pPr>
              <w:pStyle w:val="TableBodyText"/>
              <w:numPr>
                <w:ilvl w:val="0"/>
                <w:numId w:val="9"/>
              </w:numPr>
              <w:spacing w:before="40" w:after="60"/>
              <w:ind w:right="0"/>
              <w:rPr>
                <w:sz w:val="18"/>
                <w:szCs w:val="18"/>
              </w:rPr>
            </w:pPr>
            <w:r>
              <w:rPr>
                <w:sz w:val="18"/>
                <w:szCs w:val="18"/>
              </w:rPr>
              <w:t>the relevant provision should be further extended to cover a substantial sustained decrease in grid use not related to a plant disconnection or de-rating</w:t>
            </w:r>
          </w:p>
          <w:p w14:paraId="38CA7D83" w14:textId="77777777" w:rsidR="00150807" w:rsidRDefault="00150807" w:rsidP="00150807">
            <w:pPr>
              <w:pStyle w:val="TableBodyText"/>
              <w:numPr>
                <w:ilvl w:val="0"/>
                <w:numId w:val="9"/>
              </w:numPr>
              <w:spacing w:before="40" w:after="60"/>
              <w:ind w:right="0"/>
              <w:rPr>
                <w:sz w:val="18"/>
                <w:szCs w:val="18"/>
              </w:rPr>
            </w:pPr>
            <w:r>
              <w:rPr>
                <w:sz w:val="18"/>
                <w:szCs w:val="18"/>
              </w:rPr>
              <w:t>the residual charge for a new entrant and an expanding customer should adjust with a lag and a gradual ramp-up, as proposed</w:t>
            </w:r>
          </w:p>
          <w:p w14:paraId="4B3DE39B" w14:textId="77777777" w:rsidR="00150807" w:rsidRDefault="00150807" w:rsidP="00150807">
            <w:pPr>
              <w:pStyle w:val="TableBodyText"/>
              <w:numPr>
                <w:ilvl w:val="0"/>
                <w:numId w:val="9"/>
              </w:numPr>
              <w:spacing w:before="40" w:after="60"/>
              <w:ind w:right="0"/>
              <w:rPr>
                <w:sz w:val="18"/>
                <w:szCs w:val="18"/>
              </w:rPr>
            </w:pPr>
            <w:r>
              <w:rPr>
                <w:sz w:val="18"/>
                <w:szCs w:val="18"/>
              </w:rPr>
              <w:t xml:space="preserve">the proposed ‘related entity’ provisions deal appropriately with avoidance concerns, and whether there is a case for a broader or more general ‘related </w:t>
            </w:r>
            <w:r>
              <w:rPr>
                <w:sz w:val="18"/>
                <w:szCs w:val="18"/>
              </w:rPr>
              <w:lastRenderedPageBreak/>
              <w:t>entity’ provision to deal with other, potentially unforeseen, avoidance opportunities?</w:t>
            </w:r>
          </w:p>
        </w:tc>
      </w:tr>
      <w:tr w:rsidR="00150807" w14:paraId="0DCB36D2"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721D9071" w14:textId="77777777" w:rsidR="00150807" w:rsidRDefault="00150807" w:rsidP="00350CBA">
            <w:pPr>
              <w:pStyle w:val="TableBodyText"/>
              <w:rPr>
                <w:b/>
                <w:bCs/>
                <w:sz w:val="18"/>
                <w:szCs w:val="18"/>
              </w:rPr>
            </w:pPr>
            <w:r>
              <w:rPr>
                <w:sz w:val="18"/>
                <w:szCs w:val="18"/>
              </w:rPr>
              <w:lastRenderedPageBreak/>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733B2F84" w14:textId="77777777" w:rsidR="00150807" w:rsidRDefault="00150807" w:rsidP="00350CBA">
            <w:pPr>
              <w:pStyle w:val="TableBodyText"/>
              <w:rPr>
                <w:sz w:val="18"/>
                <w:szCs w:val="18"/>
              </w:rPr>
            </w:pPr>
          </w:p>
          <w:p w14:paraId="409ACD85" w14:textId="77777777" w:rsidR="00150807" w:rsidRDefault="00150807" w:rsidP="00350CBA">
            <w:pPr>
              <w:pStyle w:val="TableBodyText"/>
              <w:rPr>
                <w:sz w:val="18"/>
                <w:szCs w:val="18"/>
              </w:rPr>
            </w:pPr>
          </w:p>
        </w:tc>
      </w:tr>
      <w:tr w:rsidR="00150807" w14:paraId="2C68285F"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4802BF0D" w14:textId="77777777" w:rsidR="00150807" w:rsidRDefault="00150807" w:rsidP="00350CBA">
            <w:pPr>
              <w:pStyle w:val="TableBodyText"/>
              <w:rPr>
                <w:sz w:val="18"/>
                <w:szCs w:val="18"/>
              </w:rPr>
            </w:pPr>
            <w:r>
              <w:rPr>
                <w:b/>
                <w:bCs/>
                <w:sz w:val="18"/>
                <w:szCs w:val="18"/>
              </w:rPr>
              <w:t>Chapter 9 Prudent discounts</w:t>
            </w:r>
          </w:p>
        </w:tc>
      </w:tr>
      <w:tr w:rsidR="00150807" w14:paraId="5748AB99" w14:textId="77777777" w:rsidTr="00350CBA">
        <w:tc>
          <w:tcPr>
            <w:tcW w:w="1171" w:type="dxa"/>
            <w:tcBorders>
              <w:top w:val="single" w:sz="4" w:space="0" w:color="D9D9D9" w:themeColor="background1" w:themeShade="D9"/>
              <w:left w:val="nil"/>
              <w:bottom w:val="single" w:sz="4" w:space="0" w:color="D9D9D9" w:themeColor="background1" w:themeShade="D9"/>
              <w:right w:val="nil"/>
            </w:tcBorders>
          </w:tcPr>
          <w:p w14:paraId="32E18567"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10C77F70" w14:textId="77777777" w:rsidR="00150807" w:rsidRDefault="00150807" w:rsidP="00350CBA">
            <w:pPr>
              <w:pStyle w:val="TableBodyText"/>
              <w:rPr>
                <w:sz w:val="18"/>
                <w:szCs w:val="18"/>
              </w:rPr>
            </w:pPr>
            <w:r>
              <w:rPr>
                <w:sz w:val="18"/>
                <w:szCs w:val="18"/>
              </w:rPr>
              <w:t>Do you have any comments on the proposed PDP provisions? The Authority welcomes comment on any aspect of the proposal, including whether:</w:t>
            </w:r>
          </w:p>
          <w:p w14:paraId="507095F2" w14:textId="77777777" w:rsidR="00150807" w:rsidRDefault="00150807" w:rsidP="00150807">
            <w:pPr>
              <w:pStyle w:val="TableBodyText"/>
              <w:numPr>
                <w:ilvl w:val="0"/>
                <w:numId w:val="7"/>
              </w:numPr>
              <w:spacing w:before="40" w:after="60"/>
              <w:ind w:right="0"/>
              <w:rPr>
                <w:sz w:val="18"/>
                <w:szCs w:val="18"/>
              </w:rPr>
            </w:pPr>
            <w:r>
              <w:rPr>
                <w:sz w:val="18"/>
                <w:szCs w:val="18"/>
              </w:rPr>
              <w:t>Transpower should have to prepare a PD practice manual, and if so when, and should it be binding on Transpower</w:t>
            </w:r>
          </w:p>
          <w:p w14:paraId="0A354FD7" w14:textId="77777777" w:rsidR="00150807" w:rsidRPr="00825F61" w:rsidRDefault="00150807" w:rsidP="00150807">
            <w:pPr>
              <w:pStyle w:val="TableBodyText"/>
              <w:numPr>
                <w:ilvl w:val="0"/>
                <w:numId w:val="7"/>
              </w:numPr>
              <w:spacing w:before="40" w:after="60"/>
              <w:ind w:right="0"/>
              <w:rPr>
                <w:sz w:val="18"/>
                <w:szCs w:val="18"/>
              </w:rPr>
            </w:pPr>
            <w:r>
              <w:rPr>
                <w:sz w:val="18"/>
                <w:szCs w:val="18"/>
              </w:rPr>
              <w:t>15 years should be the default maximum period with a longer term possible on proof</w:t>
            </w:r>
          </w:p>
          <w:p w14:paraId="3A44A64D" w14:textId="77777777" w:rsidR="00150807" w:rsidRDefault="00150807" w:rsidP="00150807">
            <w:pPr>
              <w:pStyle w:val="TableBodyText"/>
              <w:numPr>
                <w:ilvl w:val="0"/>
                <w:numId w:val="8"/>
              </w:numPr>
              <w:spacing w:before="40" w:after="60"/>
              <w:ind w:right="0"/>
              <w:rPr>
                <w:sz w:val="18"/>
                <w:szCs w:val="18"/>
              </w:rPr>
            </w:pPr>
            <w:r>
              <w:rPr>
                <w:sz w:val="18"/>
                <w:szCs w:val="18"/>
              </w:rPr>
              <w:t>prudent discounts should be funded via the residual charge and as appropriate the benefit-based charge</w:t>
            </w:r>
          </w:p>
          <w:p w14:paraId="76AC9E7A" w14:textId="77777777" w:rsidR="00150807" w:rsidRDefault="00150807" w:rsidP="00150807">
            <w:pPr>
              <w:pStyle w:val="TableBodyText"/>
              <w:numPr>
                <w:ilvl w:val="0"/>
                <w:numId w:val="8"/>
              </w:numPr>
              <w:spacing w:before="40" w:after="60"/>
              <w:ind w:right="0"/>
              <w:rPr>
                <w:sz w:val="18"/>
                <w:szCs w:val="18"/>
              </w:rPr>
            </w:pPr>
            <w:r>
              <w:rPr>
                <w:sz w:val="18"/>
                <w:szCs w:val="18"/>
              </w:rPr>
              <w:t>customers should be able to terminate a prudent discount agreement before the end date of the agreement?</w:t>
            </w:r>
          </w:p>
        </w:tc>
      </w:tr>
      <w:tr w:rsidR="00150807" w14:paraId="4221E4B5"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19EC0166"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0DFE605A" w14:textId="77777777" w:rsidR="00150807" w:rsidRDefault="00150807" w:rsidP="00350CBA">
            <w:pPr>
              <w:pStyle w:val="TableBodyText"/>
              <w:rPr>
                <w:sz w:val="18"/>
                <w:szCs w:val="18"/>
              </w:rPr>
            </w:pPr>
          </w:p>
          <w:p w14:paraId="72C31C4F" w14:textId="77777777" w:rsidR="00150807" w:rsidRDefault="00150807" w:rsidP="00350CBA">
            <w:pPr>
              <w:pStyle w:val="TableBodyText"/>
              <w:rPr>
                <w:sz w:val="18"/>
                <w:szCs w:val="18"/>
              </w:rPr>
            </w:pPr>
          </w:p>
        </w:tc>
      </w:tr>
      <w:tr w:rsidR="00150807" w14:paraId="732DAD4E"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294FBDB6" w14:textId="77777777" w:rsidR="00150807" w:rsidRDefault="00150807" w:rsidP="00350CBA">
            <w:pPr>
              <w:pStyle w:val="TableBodyText"/>
              <w:rPr>
                <w:sz w:val="18"/>
                <w:szCs w:val="18"/>
              </w:rPr>
            </w:pPr>
            <w:r>
              <w:rPr>
                <w:b/>
                <w:bCs/>
                <w:sz w:val="18"/>
                <w:szCs w:val="18"/>
              </w:rPr>
              <w:t>Chapter 10 Transitional congestion charge</w:t>
            </w:r>
          </w:p>
        </w:tc>
      </w:tr>
      <w:tr w:rsidR="00150807" w14:paraId="061FEC74"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3A5E8066"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567094A8" w14:textId="77777777" w:rsidR="00150807" w:rsidRDefault="00150807" w:rsidP="00350CBA">
            <w:pPr>
              <w:pStyle w:val="TableBodyText"/>
              <w:rPr>
                <w:sz w:val="18"/>
                <w:szCs w:val="18"/>
              </w:rPr>
            </w:pPr>
            <w:r>
              <w:rPr>
                <w:sz w:val="18"/>
                <w:szCs w:val="18"/>
              </w:rPr>
              <w:t>Do you have any feedback on the proposal not to include a TCC in the proposed TPM, for the reason that widespread risk of congestion from removing the RCPD charge is unlikely and that, if necessary, the grid owner and system operator have effective tools to manage the power system quickly and efficiently?</w:t>
            </w:r>
          </w:p>
          <w:p w14:paraId="3803D570" w14:textId="77777777" w:rsidR="00150807" w:rsidRDefault="00150807" w:rsidP="00350CBA">
            <w:pPr>
              <w:pStyle w:val="TableBodyText"/>
              <w:rPr>
                <w:sz w:val="18"/>
                <w:szCs w:val="18"/>
              </w:rPr>
            </w:pPr>
            <w:r>
              <w:rPr>
                <w:sz w:val="18"/>
                <w:szCs w:val="18"/>
              </w:rPr>
              <w:t>If not, how should a TCC be designed to be consistent with the Guidelines? Under what situations should it be applied and how should its size and allocation be determined?</w:t>
            </w:r>
          </w:p>
        </w:tc>
      </w:tr>
      <w:tr w:rsidR="00150807" w14:paraId="64BF6343"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11BECB8D"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5F93968B" w14:textId="77777777" w:rsidR="00150807" w:rsidRDefault="00150807" w:rsidP="00350CBA">
            <w:pPr>
              <w:pStyle w:val="TableBodyText"/>
              <w:rPr>
                <w:sz w:val="18"/>
                <w:szCs w:val="18"/>
              </w:rPr>
            </w:pPr>
          </w:p>
          <w:p w14:paraId="3C0346C9" w14:textId="77777777" w:rsidR="00150807" w:rsidRDefault="00150807" w:rsidP="00350CBA">
            <w:pPr>
              <w:pStyle w:val="TableBodyText"/>
              <w:rPr>
                <w:sz w:val="18"/>
                <w:szCs w:val="18"/>
              </w:rPr>
            </w:pPr>
          </w:p>
        </w:tc>
      </w:tr>
      <w:tr w:rsidR="00150807" w14:paraId="1BFCE0DC"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1D4FDDCE" w14:textId="77777777" w:rsidR="00150807" w:rsidRDefault="00150807" w:rsidP="00350CBA">
            <w:pPr>
              <w:pStyle w:val="TableBodyText"/>
              <w:rPr>
                <w:sz w:val="18"/>
                <w:szCs w:val="18"/>
              </w:rPr>
            </w:pPr>
            <w:r>
              <w:rPr>
                <w:b/>
                <w:bCs/>
                <w:sz w:val="18"/>
                <w:szCs w:val="18"/>
              </w:rPr>
              <w:t xml:space="preserve">Chapter 11 </w:t>
            </w:r>
            <w:proofErr w:type="spellStart"/>
            <w:r>
              <w:rPr>
                <w:b/>
                <w:bCs/>
                <w:sz w:val="18"/>
                <w:szCs w:val="18"/>
              </w:rPr>
              <w:t>kvar</w:t>
            </w:r>
            <w:proofErr w:type="spellEnd"/>
            <w:r>
              <w:rPr>
                <w:b/>
                <w:bCs/>
                <w:sz w:val="18"/>
                <w:szCs w:val="18"/>
              </w:rPr>
              <w:t xml:space="preserve"> charge</w:t>
            </w:r>
          </w:p>
        </w:tc>
      </w:tr>
      <w:tr w:rsidR="00150807" w14:paraId="6473332A"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4F4B142A"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0E516A99" w14:textId="77777777" w:rsidR="00150807" w:rsidRDefault="00150807" w:rsidP="00350CBA">
            <w:pPr>
              <w:pStyle w:val="TableBodyText"/>
              <w:rPr>
                <w:sz w:val="18"/>
                <w:szCs w:val="18"/>
              </w:rPr>
            </w:pPr>
            <w:r>
              <w:rPr>
                <w:sz w:val="18"/>
                <w:szCs w:val="18"/>
              </w:rPr>
              <w:t xml:space="preserve">Do you have any comment on the proposal not to include a </w:t>
            </w:r>
            <w:proofErr w:type="spellStart"/>
            <w:r>
              <w:rPr>
                <w:sz w:val="18"/>
                <w:szCs w:val="18"/>
              </w:rPr>
              <w:t>kVAr</w:t>
            </w:r>
            <w:proofErr w:type="spellEnd"/>
            <w:r>
              <w:rPr>
                <w:sz w:val="18"/>
                <w:szCs w:val="18"/>
              </w:rPr>
              <w:t xml:space="preserve"> charge in the proposed TPM? </w:t>
            </w:r>
          </w:p>
        </w:tc>
      </w:tr>
      <w:tr w:rsidR="00150807" w14:paraId="57E3D747"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327ECC51"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45711525" w14:textId="77777777" w:rsidR="00150807" w:rsidRDefault="00150807" w:rsidP="00350CBA">
            <w:pPr>
              <w:pStyle w:val="TableBodyText"/>
              <w:rPr>
                <w:sz w:val="18"/>
                <w:szCs w:val="18"/>
              </w:rPr>
            </w:pPr>
          </w:p>
          <w:p w14:paraId="1E44FE7E" w14:textId="77777777" w:rsidR="00150807" w:rsidRDefault="00150807" w:rsidP="00350CBA">
            <w:pPr>
              <w:pStyle w:val="TableBodyText"/>
              <w:rPr>
                <w:sz w:val="18"/>
                <w:szCs w:val="18"/>
              </w:rPr>
            </w:pPr>
          </w:p>
        </w:tc>
      </w:tr>
      <w:tr w:rsidR="00150807" w14:paraId="10C605EC"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5AC69EC6" w14:textId="77777777" w:rsidR="00150807" w:rsidRDefault="00150807" w:rsidP="00350CBA">
            <w:pPr>
              <w:pStyle w:val="TableBodyText"/>
              <w:rPr>
                <w:sz w:val="18"/>
                <w:szCs w:val="18"/>
              </w:rPr>
            </w:pPr>
            <w:r>
              <w:rPr>
                <w:b/>
                <w:bCs/>
                <w:sz w:val="18"/>
                <w:szCs w:val="18"/>
              </w:rPr>
              <w:t>Chapter 12 Indicative prices</w:t>
            </w:r>
          </w:p>
        </w:tc>
      </w:tr>
      <w:tr w:rsidR="00150807" w14:paraId="58A51536"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17DDE91B"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37447764" w14:textId="77777777" w:rsidR="00150807" w:rsidRDefault="00150807" w:rsidP="00350CBA">
            <w:pPr>
              <w:pStyle w:val="TableBodyText"/>
              <w:rPr>
                <w:sz w:val="18"/>
                <w:szCs w:val="18"/>
              </w:rPr>
            </w:pPr>
            <w:r>
              <w:rPr>
                <w:sz w:val="18"/>
                <w:szCs w:val="18"/>
              </w:rPr>
              <w:t>Do you have any comments on indicative pricing or the application of the transitional cap?</w:t>
            </w:r>
          </w:p>
        </w:tc>
      </w:tr>
      <w:tr w:rsidR="00150807" w14:paraId="11CD0DBB"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502BA94F"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360B1CBB" w14:textId="77777777" w:rsidR="00150807" w:rsidRDefault="00150807" w:rsidP="00350CBA">
            <w:pPr>
              <w:pStyle w:val="TableBodyText"/>
              <w:rPr>
                <w:sz w:val="18"/>
                <w:szCs w:val="18"/>
              </w:rPr>
            </w:pPr>
          </w:p>
          <w:p w14:paraId="635A1463" w14:textId="77777777" w:rsidR="00150807" w:rsidRDefault="00150807" w:rsidP="00350CBA">
            <w:pPr>
              <w:pStyle w:val="TableBodyText"/>
              <w:rPr>
                <w:sz w:val="18"/>
                <w:szCs w:val="18"/>
              </w:rPr>
            </w:pPr>
          </w:p>
        </w:tc>
      </w:tr>
      <w:tr w:rsidR="00150807" w14:paraId="179C2DCA"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02948AC4" w14:textId="77777777" w:rsidR="00150807" w:rsidRDefault="00150807" w:rsidP="00350CBA">
            <w:pPr>
              <w:pStyle w:val="TableBodyText"/>
              <w:rPr>
                <w:sz w:val="18"/>
                <w:szCs w:val="18"/>
              </w:rPr>
            </w:pPr>
            <w:r>
              <w:rPr>
                <w:b/>
                <w:bCs/>
                <w:sz w:val="18"/>
                <w:szCs w:val="18"/>
              </w:rPr>
              <w:t>Chapter 13 Other provisions of the proposed TPM</w:t>
            </w:r>
          </w:p>
        </w:tc>
      </w:tr>
      <w:tr w:rsidR="00150807" w14:paraId="3CD1D8A4"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5D9554C8"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44E2688E" w14:textId="77777777" w:rsidR="00150807" w:rsidRDefault="00150807" w:rsidP="00350CBA">
            <w:pPr>
              <w:pStyle w:val="TableBodyText"/>
              <w:rPr>
                <w:sz w:val="18"/>
                <w:szCs w:val="18"/>
              </w:rPr>
            </w:pPr>
            <w:r>
              <w:rPr>
                <w:sz w:val="18"/>
                <w:szCs w:val="18"/>
              </w:rPr>
              <w:t>Do you have any comment on or suggestions for the preliminary provisions cl1-18?</w:t>
            </w:r>
          </w:p>
        </w:tc>
      </w:tr>
      <w:tr w:rsidR="00150807" w14:paraId="0C024909"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5970E93D"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5BB0A4F2" w14:textId="77777777" w:rsidR="00150807" w:rsidRDefault="00150807" w:rsidP="00350CBA">
            <w:pPr>
              <w:pStyle w:val="TableBodyText"/>
              <w:rPr>
                <w:sz w:val="18"/>
                <w:szCs w:val="18"/>
              </w:rPr>
            </w:pPr>
          </w:p>
          <w:p w14:paraId="22B4C550" w14:textId="77777777" w:rsidR="00150807" w:rsidRDefault="00150807" w:rsidP="00350CBA">
            <w:pPr>
              <w:pStyle w:val="TableBodyText"/>
              <w:rPr>
                <w:sz w:val="18"/>
                <w:szCs w:val="18"/>
              </w:rPr>
            </w:pPr>
          </w:p>
        </w:tc>
      </w:tr>
      <w:tr w:rsidR="00150807" w14:paraId="1974414B"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4EB88FDF" w14:textId="77777777" w:rsidR="00150807" w:rsidRDefault="00150807" w:rsidP="00350CBA">
            <w:pPr>
              <w:pStyle w:val="TableBodyText"/>
              <w:rPr>
                <w:sz w:val="18"/>
                <w:szCs w:val="18"/>
              </w:rPr>
            </w:pPr>
            <w:r>
              <w:rPr>
                <w:b/>
                <w:bCs/>
                <w:sz w:val="18"/>
                <w:szCs w:val="18"/>
              </w:rPr>
              <w:t>Chapter 14 Regulatory statement</w:t>
            </w:r>
          </w:p>
        </w:tc>
      </w:tr>
      <w:tr w:rsidR="00150807" w14:paraId="01521C69"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1BF9A793"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539E7743" w14:textId="77777777" w:rsidR="00150807" w:rsidRDefault="00150807" w:rsidP="00350CBA">
            <w:pPr>
              <w:pStyle w:val="TableBodyText"/>
              <w:rPr>
                <w:sz w:val="18"/>
                <w:szCs w:val="18"/>
              </w:rPr>
            </w:pPr>
            <w:r>
              <w:rPr>
                <w:sz w:val="18"/>
                <w:szCs w:val="18"/>
              </w:rPr>
              <w:t>Do you have any comments on the regulatory statement, or the assessment of wider factors?</w:t>
            </w:r>
          </w:p>
        </w:tc>
      </w:tr>
      <w:tr w:rsidR="00150807" w14:paraId="0FAF9D0D"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46189E2B" w14:textId="77777777" w:rsidR="00150807" w:rsidRDefault="00150807" w:rsidP="00350CBA">
            <w:pPr>
              <w:pStyle w:val="TableBodyText"/>
              <w:rPr>
                <w:sz w:val="18"/>
                <w:szCs w:val="18"/>
              </w:rPr>
            </w:pPr>
            <w:r>
              <w:rPr>
                <w:sz w:val="18"/>
                <w:szCs w:val="18"/>
              </w:rPr>
              <w:lastRenderedPageBreak/>
              <w:t>Response</w:t>
            </w:r>
          </w:p>
          <w:p w14:paraId="3978B00A" w14:textId="77777777" w:rsidR="00150807" w:rsidRDefault="00150807" w:rsidP="00350CBA">
            <w:pPr>
              <w:pStyle w:val="TableBodyText"/>
              <w:rPr>
                <w:b/>
                <w:bCs/>
                <w:sz w:val="18"/>
                <w:szCs w:val="18"/>
              </w:rPr>
            </w:pPr>
          </w:p>
          <w:p w14:paraId="66063B75" w14:textId="77777777" w:rsidR="00150807" w:rsidRDefault="00150807" w:rsidP="00350CBA">
            <w:pPr>
              <w:pStyle w:val="TableBodyText"/>
              <w:rPr>
                <w:b/>
                <w:bCs/>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tcPr>
          <w:p w14:paraId="1823F0D1" w14:textId="77777777" w:rsidR="00150807" w:rsidRDefault="00150807" w:rsidP="00350CBA">
            <w:pPr>
              <w:pStyle w:val="TableBodyText"/>
              <w:rPr>
                <w:sz w:val="18"/>
                <w:szCs w:val="18"/>
              </w:rPr>
            </w:pPr>
          </w:p>
          <w:p w14:paraId="35DA3853" w14:textId="77777777" w:rsidR="00150807" w:rsidRDefault="00150807" w:rsidP="00350CBA">
            <w:pPr>
              <w:pStyle w:val="TableBodyText"/>
              <w:rPr>
                <w:sz w:val="18"/>
                <w:szCs w:val="18"/>
              </w:rPr>
            </w:pPr>
          </w:p>
        </w:tc>
      </w:tr>
      <w:tr w:rsidR="00150807" w14:paraId="35ADF685"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5F28A77B" w14:textId="77777777" w:rsidR="00150807" w:rsidRDefault="00150807" w:rsidP="00350CBA">
            <w:pPr>
              <w:pStyle w:val="TableBodyText"/>
              <w:rPr>
                <w:sz w:val="18"/>
                <w:szCs w:val="18"/>
              </w:rPr>
            </w:pPr>
            <w:r>
              <w:rPr>
                <w:b/>
                <w:bCs/>
                <w:sz w:val="18"/>
                <w:szCs w:val="18"/>
              </w:rPr>
              <w:t>Chapter 15 Next steps</w:t>
            </w:r>
          </w:p>
        </w:tc>
      </w:tr>
      <w:tr w:rsidR="00150807" w14:paraId="3D378FCD"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6DD7282D"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hideMark/>
          </w:tcPr>
          <w:p w14:paraId="722D3AB5" w14:textId="77777777" w:rsidR="00150807" w:rsidRDefault="00150807" w:rsidP="00350CBA">
            <w:pPr>
              <w:pStyle w:val="TableBodyText"/>
              <w:rPr>
                <w:sz w:val="18"/>
                <w:szCs w:val="18"/>
              </w:rPr>
            </w:pPr>
            <w:r>
              <w:rPr>
                <w:sz w:val="18"/>
                <w:szCs w:val="18"/>
              </w:rPr>
              <w:t>Do you agree that 1 April 2023 is an appropriate commencement date for the proposed TPM?</w:t>
            </w:r>
          </w:p>
          <w:p w14:paraId="4C323567" w14:textId="77777777" w:rsidR="00150807" w:rsidRDefault="00150807" w:rsidP="00350CBA">
            <w:pPr>
              <w:pStyle w:val="TableBodyText"/>
              <w:rPr>
                <w:sz w:val="18"/>
                <w:szCs w:val="18"/>
              </w:rPr>
            </w:pPr>
            <w:r>
              <w:rPr>
                <w:sz w:val="18"/>
                <w:szCs w:val="18"/>
              </w:rPr>
              <w:t>Do you agree with the proposed transitional measure for any standard method investments for which allocation is not completed?</w:t>
            </w:r>
          </w:p>
        </w:tc>
      </w:tr>
      <w:tr w:rsidR="00150807" w14:paraId="770AFDE2"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17948E15"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391B709B" w14:textId="77777777" w:rsidR="00150807" w:rsidRDefault="00150807" w:rsidP="00350CBA">
            <w:pPr>
              <w:pStyle w:val="TableBodyText"/>
              <w:rPr>
                <w:sz w:val="18"/>
                <w:szCs w:val="18"/>
              </w:rPr>
            </w:pPr>
          </w:p>
          <w:p w14:paraId="6CBBADE4" w14:textId="77777777" w:rsidR="00150807" w:rsidRDefault="00150807" w:rsidP="00350CBA">
            <w:pPr>
              <w:pStyle w:val="TableBodyText"/>
              <w:rPr>
                <w:sz w:val="18"/>
                <w:szCs w:val="18"/>
              </w:rPr>
            </w:pPr>
          </w:p>
        </w:tc>
      </w:tr>
      <w:tr w:rsidR="00150807" w14:paraId="46E19411"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7BBAC341" w14:textId="77777777" w:rsidR="00150807" w:rsidRDefault="00150807" w:rsidP="00350CBA">
            <w:pPr>
              <w:pStyle w:val="TableBodyText"/>
              <w:rPr>
                <w:sz w:val="18"/>
                <w:szCs w:val="18"/>
              </w:rPr>
            </w:pPr>
            <w:r>
              <w:rPr>
                <w:b/>
                <w:bCs/>
                <w:sz w:val="18"/>
                <w:szCs w:val="18"/>
              </w:rPr>
              <w:t>Appendix: Proposed TPM</w:t>
            </w:r>
          </w:p>
        </w:tc>
      </w:tr>
      <w:tr w:rsidR="00150807" w14:paraId="3666B38C"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56FA28F7"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tcPr>
          <w:p w14:paraId="56026EEF" w14:textId="77777777" w:rsidR="00150807" w:rsidRDefault="00150807" w:rsidP="00350CBA">
            <w:pPr>
              <w:pStyle w:val="TableBodyText"/>
              <w:rPr>
                <w:sz w:val="18"/>
                <w:szCs w:val="18"/>
              </w:rPr>
            </w:pPr>
            <w:r>
              <w:rPr>
                <w:sz w:val="18"/>
                <w:szCs w:val="18"/>
              </w:rPr>
              <w:t>Do you have any feedback that would improve the drafting of the proposed TPM?</w:t>
            </w:r>
          </w:p>
        </w:tc>
      </w:tr>
      <w:tr w:rsidR="00150807" w14:paraId="3555E07A"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1D02CAD8"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0F2C70CD" w14:textId="77777777" w:rsidR="00150807" w:rsidRDefault="00150807" w:rsidP="00350CBA">
            <w:pPr>
              <w:pStyle w:val="TableBodyText"/>
              <w:rPr>
                <w:sz w:val="18"/>
                <w:szCs w:val="18"/>
              </w:rPr>
            </w:pPr>
          </w:p>
          <w:p w14:paraId="36F02205" w14:textId="77777777" w:rsidR="00150807" w:rsidRDefault="00150807" w:rsidP="00350CBA">
            <w:pPr>
              <w:pStyle w:val="TableBodyText"/>
              <w:rPr>
                <w:sz w:val="18"/>
                <w:szCs w:val="18"/>
              </w:rPr>
            </w:pPr>
          </w:p>
        </w:tc>
      </w:tr>
      <w:tr w:rsidR="00150807" w14:paraId="7721FFC4" w14:textId="77777777" w:rsidTr="00350CBA">
        <w:tc>
          <w:tcPr>
            <w:tcW w:w="8363" w:type="dxa"/>
            <w:gridSpan w:val="2"/>
            <w:tcBorders>
              <w:top w:val="single" w:sz="4" w:space="0" w:color="D9D9D9" w:themeColor="background1" w:themeShade="D9"/>
              <w:left w:val="nil"/>
              <w:bottom w:val="single" w:sz="4" w:space="0" w:color="D9D9D9" w:themeColor="background1" w:themeShade="D9"/>
              <w:right w:val="nil"/>
            </w:tcBorders>
            <w:hideMark/>
          </w:tcPr>
          <w:p w14:paraId="3A9166D0" w14:textId="77777777" w:rsidR="00150807" w:rsidRDefault="00150807" w:rsidP="00350CBA">
            <w:pPr>
              <w:pStyle w:val="TableBodyText"/>
              <w:rPr>
                <w:sz w:val="18"/>
                <w:szCs w:val="18"/>
              </w:rPr>
            </w:pPr>
            <w:r>
              <w:rPr>
                <w:b/>
                <w:bCs/>
                <w:sz w:val="18"/>
                <w:szCs w:val="18"/>
              </w:rPr>
              <w:t>Appendix: Cost benefit analysis</w:t>
            </w:r>
          </w:p>
        </w:tc>
      </w:tr>
      <w:tr w:rsidR="00150807" w14:paraId="3ACAFF90" w14:textId="77777777" w:rsidTr="00350CBA">
        <w:tc>
          <w:tcPr>
            <w:tcW w:w="1171" w:type="dxa"/>
            <w:tcBorders>
              <w:top w:val="single" w:sz="4" w:space="0" w:color="D9D9D9" w:themeColor="background1" w:themeShade="D9"/>
              <w:left w:val="nil"/>
              <w:bottom w:val="single" w:sz="4" w:space="0" w:color="D9D9D9" w:themeColor="background1" w:themeShade="D9"/>
              <w:right w:val="nil"/>
            </w:tcBorders>
          </w:tcPr>
          <w:p w14:paraId="6E5E09F8" w14:textId="77777777" w:rsidR="00150807" w:rsidRDefault="00150807" w:rsidP="00350CBA">
            <w:pPr>
              <w:pStyle w:val="TableBodyText"/>
              <w:rPr>
                <w:sz w:val="18"/>
                <w:szCs w:val="18"/>
              </w:rPr>
            </w:pPr>
          </w:p>
        </w:tc>
        <w:tc>
          <w:tcPr>
            <w:tcW w:w="7192" w:type="dxa"/>
            <w:tcBorders>
              <w:top w:val="single" w:sz="4" w:space="0" w:color="D9D9D9" w:themeColor="background1" w:themeShade="D9"/>
              <w:left w:val="nil"/>
              <w:bottom w:val="single" w:sz="4" w:space="0" w:color="D9D9D9" w:themeColor="background1" w:themeShade="D9"/>
              <w:right w:val="nil"/>
            </w:tcBorders>
          </w:tcPr>
          <w:p w14:paraId="28B17465" w14:textId="77777777" w:rsidR="00150807" w:rsidRDefault="00150807" w:rsidP="00350CBA">
            <w:pPr>
              <w:pStyle w:val="TableBodyText"/>
              <w:rPr>
                <w:sz w:val="18"/>
                <w:szCs w:val="18"/>
              </w:rPr>
            </w:pPr>
            <w:r>
              <w:rPr>
                <w:sz w:val="18"/>
                <w:szCs w:val="18"/>
              </w:rPr>
              <w:t>Do you have any comment on the cost benefit analysis?</w:t>
            </w:r>
          </w:p>
        </w:tc>
      </w:tr>
      <w:tr w:rsidR="00150807" w14:paraId="0ACE6B60"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18BB0BFC" w14:textId="77777777" w:rsidR="00150807" w:rsidRDefault="00150807" w:rsidP="00350CBA">
            <w:pPr>
              <w:pStyle w:val="TableBodyText"/>
              <w:rPr>
                <w:b/>
                <w:bCs/>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5AC77FC3" w14:textId="77777777" w:rsidR="00150807" w:rsidRDefault="00150807" w:rsidP="00350CBA">
            <w:pPr>
              <w:pStyle w:val="TableBodyText"/>
              <w:rPr>
                <w:sz w:val="18"/>
                <w:szCs w:val="18"/>
              </w:rPr>
            </w:pPr>
          </w:p>
          <w:p w14:paraId="327D450A" w14:textId="77777777" w:rsidR="00150807" w:rsidRDefault="00150807" w:rsidP="00350CBA">
            <w:pPr>
              <w:pStyle w:val="TableBodyText"/>
              <w:rPr>
                <w:sz w:val="18"/>
                <w:szCs w:val="18"/>
              </w:rPr>
            </w:pPr>
          </w:p>
        </w:tc>
      </w:tr>
      <w:tr w:rsidR="00150807" w14:paraId="32DA02E9"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2BF9F414" w14:textId="77777777" w:rsidR="00150807" w:rsidRDefault="00150807" w:rsidP="00350CBA">
            <w:pPr>
              <w:pStyle w:val="TableBodyText"/>
              <w:rPr>
                <w:b/>
                <w:bCs/>
                <w:sz w:val="18"/>
                <w:szCs w:val="18"/>
              </w:rPr>
            </w:pPr>
            <w:r>
              <w:rPr>
                <w:b/>
                <w:bCs/>
                <w:sz w:val="18"/>
                <w:szCs w:val="18"/>
              </w:rPr>
              <w:t>Other</w:t>
            </w:r>
          </w:p>
        </w:tc>
        <w:tc>
          <w:tcPr>
            <w:tcW w:w="7192" w:type="dxa"/>
            <w:tcBorders>
              <w:top w:val="single" w:sz="4" w:space="0" w:color="D9D9D9" w:themeColor="background1" w:themeShade="D9"/>
              <w:left w:val="nil"/>
              <w:bottom w:val="single" w:sz="4" w:space="0" w:color="D9D9D9" w:themeColor="background1" w:themeShade="D9"/>
              <w:right w:val="nil"/>
            </w:tcBorders>
          </w:tcPr>
          <w:p w14:paraId="2F157191" w14:textId="77777777" w:rsidR="00150807" w:rsidRDefault="00150807" w:rsidP="00350CBA">
            <w:pPr>
              <w:pStyle w:val="TableBodyText"/>
              <w:rPr>
                <w:sz w:val="18"/>
                <w:szCs w:val="18"/>
              </w:rPr>
            </w:pPr>
            <w:r>
              <w:rPr>
                <w:sz w:val="18"/>
                <w:szCs w:val="18"/>
              </w:rPr>
              <w:t>Is there anything else in relation to the proposed Code amendment that you wish to comment on?</w:t>
            </w:r>
          </w:p>
          <w:p w14:paraId="64B29A65" w14:textId="77777777" w:rsidR="00150807" w:rsidRDefault="00150807" w:rsidP="00350CBA">
            <w:pPr>
              <w:pStyle w:val="TableBodyText"/>
              <w:rPr>
                <w:b/>
                <w:bCs/>
                <w:sz w:val="18"/>
                <w:szCs w:val="18"/>
              </w:rPr>
            </w:pPr>
            <w:r>
              <w:rPr>
                <w:sz w:val="18"/>
                <w:szCs w:val="18"/>
              </w:rPr>
              <w:t>Do you have any other feedback on any other aspect of the proposed TPM?</w:t>
            </w:r>
          </w:p>
        </w:tc>
      </w:tr>
      <w:tr w:rsidR="00150807" w14:paraId="11F65B7D" w14:textId="77777777" w:rsidTr="00350CBA">
        <w:tc>
          <w:tcPr>
            <w:tcW w:w="1171" w:type="dxa"/>
            <w:tcBorders>
              <w:top w:val="single" w:sz="4" w:space="0" w:color="D9D9D9" w:themeColor="background1" w:themeShade="D9"/>
              <w:left w:val="nil"/>
              <w:bottom w:val="single" w:sz="4" w:space="0" w:color="D9D9D9" w:themeColor="background1" w:themeShade="D9"/>
              <w:right w:val="nil"/>
            </w:tcBorders>
            <w:hideMark/>
          </w:tcPr>
          <w:p w14:paraId="70AE85E6" w14:textId="77777777" w:rsidR="00150807" w:rsidRDefault="00150807" w:rsidP="00350CBA">
            <w:pPr>
              <w:pStyle w:val="TableBodyText"/>
              <w:rPr>
                <w:sz w:val="18"/>
                <w:szCs w:val="18"/>
              </w:rPr>
            </w:pPr>
            <w:r>
              <w:rPr>
                <w:sz w:val="18"/>
                <w:szCs w:val="18"/>
              </w:rPr>
              <w:t>Response</w:t>
            </w:r>
          </w:p>
        </w:tc>
        <w:tc>
          <w:tcPr>
            <w:tcW w:w="7192" w:type="dxa"/>
            <w:tcBorders>
              <w:top w:val="single" w:sz="4" w:space="0" w:color="D9D9D9" w:themeColor="background1" w:themeShade="D9"/>
              <w:left w:val="nil"/>
              <w:bottom w:val="single" w:sz="4" w:space="0" w:color="D9D9D9" w:themeColor="background1" w:themeShade="D9"/>
              <w:right w:val="nil"/>
            </w:tcBorders>
          </w:tcPr>
          <w:p w14:paraId="7253BFEA" w14:textId="77777777" w:rsidR="00150807" w:rsidRDefault="00150807" w:rsidP="00350CBA">
            <w:pPr>
              <w:pStyle w:val="TableBodyText"/>
              <w:rPr>
                <w:sz w:val="18"/>
                <w:szCs w:val="18"/>
              </w:rPr>
            </w:pPr>
          </w:p>
        </w:tc>
      </w:tr>
    </w:tbl>
    <w:p w14:paraId="3320780B" w14:textId="77777777" w:rsidR="00150807" w:rsidRPr="009B6FEF" w:rsidRDefault="00150807" w:rsidP="00150807"/>
    <w:p w14:paraId="7FAA0938" w14:textId="77777777" w:rsidR="00321361" w:rsidRDefault="00321361"/>
    <w:sectPr w:rsidR="00321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E533C"/>
    <w:multiLevelType w:val="multilevel"/>
    <w:tmpl w:val="99B895B4"/>
    <w:styleLink w:val="ESList1"/>
    <w:lvl w:ilvl="0">
      <w:start w:val="1"/>
      <w:numFmt w:val="decimal"/>
      <w:pStyle w:val="Heading1"/>
      <w:lvlText w:val="%1"/>
      <w:lvlJc w:val="left"/>
      <w:pPr>
        <w:ind w:left="709" w:hanging="709"/>
      </w:pPr>
      <w:rPr>
        <w:rFonts w:hint="default"/>
      </w:rPr>
    </w:lvl>
    <w:lvl w:ilvl="1">
      <w:start w:val="1"/>
      <w:numFmt w:val="decimal"/>
      <w:pStyle w:val="11Paragraph"/>
      <w:lvlText w:val="%1.%2"/>
      <w:lvlJc w:val="left"/>
      <w:pPr>
        <w:ind w:left="709" w:hanging="709"/>
      </w:pPr>
      <w:rPr>
        <w:rFonts w:hint="default"/>
      </w:rPr>
    </w:lvl>
    <w:lvl w:ilvl="2">
      <w:start w:val="1"/>
      <w:numFmt w:val="lowerLetter"/>
      <w:pStyle w:val="a---"/>
      <w:lvlText w:val="(%3)"/>
      <w:lvlJc w:val="left"/>
      <w:pPr>
        <w:ind w:left="1276" w:hanging="567"/>
      </w:pPr>
      <w:rPr>
        <w:rFonts w:hint="default"/>
      </w:rPr>
    </w:lvl>
    <w:lvl w:ilvl="3">
      <w:start w:val="1"/>
      <w:numFmt w:val="lowerRoman"/>
      <w:pStyle w:val="i---"/>
      <w:lvlText w:val="(%4)"/>
      <w:lvlJc w:val="left"/>
      <w:pPr>
        <w:ind w:left="1843" w:hanging="567"/>
      </w:pPr>
      <w:rPr>
        <w:rFonts w:hint="default"/>
      </w:rPr>
    </w:lvl>
    <w:lvl w:ilvl="4">
      <w:start w:val="1"/>
      <w:numFmt w:val="decimal"/>
      <w:pStyle w:val="1FourthLevel"/>
      <w:lvlText w:val="%5."/>
      <w:lvlJc w:val="left"/>
      <w:pPr>
        <w:tabs>
          <w:tab w:val="num" w:pos="2410"/>
        </w:tabs>
        <w:ind w:left="2410" w:hanging="567"/>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9F64459"/>
    <w:multiLevelType w:val="multilevel"/>
    <w:tmpl w:val="BBB21D5E"/>
    <w:styleLink w:val="EAAppendixList"/>
    <w:lvl w:ilvl="0">
      <w:start w:val="1"/>
      <w:numFmt w:val="upperLetter"/>
      <w:lvlText w:val="Appendix %1"/>
      <w:lvlJc w:val="left"/>
      <w:pPr>
        <w:tabs>
          <w:tab w:val="num" w:pos="2268"/>
        </w:tabs>
        <w:ind w:left="2268" w:hanging="2268"/>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1276"/>
        </w:tabs>
        <w:ind w:left="1276" w:hanging="567"/>
      </w:pPr>
      <w:rPr>
        <w:rFonts w:hint="default"/>
      </w:rPr>
    </w:lvl>
    <w:lvl w:ilvl="3">
      <w:start w:val="1"/>
      <w:numFmt w:val="lowerRoman"/>
      <w:lvlText w:val="(%4)"/>
      <w:lvlJc w:val="left"/>
      <w:pPr>
        <w:tabs>
          <w:tab w:val="num" w:pos="1843"/>
        </w:tabs>
        <w:ind w:left="1843" w:hanging="567"/>
      </w:pPr>
      <w:rPr>
        <w:rFonts w:hint="default"/>
      </w:rPr>
    </w:lvl>
    <w:lvl w:ilvl="4">
      <w:start w:val="1"/>
      <w:numFmt w:val="none"/>
      <w:suff w:val="nothing"/>
      <w:lvlText w:val=""/>
      <w:lvlJc w:val="left"/>
      <w:pPr>
        <w:ind w:left="1843" w:firstLine="0"/>
      </w:pPr>
      <w:rPr>
        <w:rFonts w:hint="default"/>
      </w:rPr>
    </w:lvl>
    <w:lvl w:ilvl="5">
      <w:start w:val="1"/>
      <w:numFmt w:val="none"/>
      <w:suff w:val="nothing"/>
      <w:lvlText w:val=""/>
      <w:lvlJc w:val="left"/>
      <w:pPr>
        <w:ind w:left="2268" w:firstLine="0"/>
      </w:pPr>
      <w:rPr>
        <w:rFonts w:hint="default"/>
      </w:rPr>
    </w:lvl>
    <w:lvl w:ilvl="6">
      <w:start w:val="1"/>
      <w:numFmt w:val="none"/>
      <w:lvlText w:val=""/>
      <w:lvlJc w:val="left"/>
      <w:pPr>
        <w:tabs>
          <w:tab w:val="num" w:pos="-710"/>
        </w:tabs>
        <w:ind w:left="-710" w:firstLine="0"/>
      </w:pPr>
      <w:rPr>
        <w:rFonts w:hint="default"/>
      </w:rPr>
    </w:lvl>
    <w:lvl w:ilvl="7">
      <w:start w:val="1"/>
      <w:numFmt w:val="none"/>
      <w:lvlText w:val=""/>
      <w:lvlJc w:val="left"/>
      <w:pPr>
        <w:tabs>
          <w:tab w:val="num" w:pos="-710"/>
        </w:tabs>
        <w:ind w:left="-710" w:firstLine="0"/>
      </w:pPr>
      <w:rPr>
        <w:rFonts w:hint="default"/>
      </w:rPr>
    </w:lvl>
    <w:lvl w:ilvl="8">
      <w:start w:val="1"/>
      <w:numFmt w:val="none"/>
      <w:lvlText w:val=""/>
      <w:lvlJc w:val="left"/>
      <w:pPr>
        <w:tabs>
          <w:tab w:val="num" w:pos="-710"/>
        </w:tabs>
        <w:ind w:left="-710" w:firstLine="0"/>
      </w:pPr>
      <w:rPr>
        <w:rFonts w:hint="default"/>
      </w:rPr>
    </w:lvl>
  </w:abstractNum>
  <w:abstractNum w:abstractNumId="2" w15:restartNumberingAfterBreak="0">
    <w:nsid w:val="1A2525ED"/>
    <w:multiLevelType w:val="hybridMultilevel"/>
    <w:tmpl w:val="5ED0C1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3BC2167"/>
    <w:multiLevelType w:val="hybridMultilevel"/>
    <w:tmpl w:val="4A82E18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56A078A4"/>
    <w:multiLevelType w:val="hybridMultilevel"/>
    <w:tmpl w:val="3A82078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5F18684C"/>
    <w:multiLevelType w:val="multilevel"/>
    <w:tmpl w:val="A8101476"/>
    <w:lvl w:ilvl="0">
      <w:start w:val="1"/>
      <w:numFmt w:val="upperLetter"/>
      <w:pStyle w:val="AAppendix"/>
      <w:lvlText w:val="Appendix %1"/>
      <w:lvlJc w:val="left"/>
      <w:pPr>
        <w:tabs>
          <w:tab w:val="num" w:pos="2268"/>
        </w:tabs>
        <w:ind w:left="2268" w:hanging="2268"/>
      </w:pPr>
      <w:rPr>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AppendixA1"/>
      <w:lvlText w:val="%1.%2"/>
      <w:lvlJc w:val="left"/>
      <w:pPr>
        <w:tabs>
          <w:tab w:val="num" w:pos="709"/>
        </w:tabs>
        <w:ind w:left="709" w:hanging="709"/>
      </w:pPr>
      <w:rPr>
        <w:rFonts w:hint="default"/>
      </w:rPr>
    </w:lvl>
    <w:lvl w:ilvl="2">
      <w:start w:val="1"/>
      <w:numFmt w:val="lowerLetter"/>
      <w:pStyle w:val="Appendixa---"/>
      <w:lvlText w:val="(%3)"/>
      <w:lvlJc w:val="left"/>
      <w:pPr>
        <w:tabs>
          <w:tab w:val="num" w:pos="1276"/>
        </w:tabs>
        <w:ind w:left="1276" w:hanging="567"/>
      </w:pPr>
      <w:rPr>
        <w:rFonts w:hint="default"/>
      </w:rPr>
    </w:lvl>
    <w:lvl w:ilvl="3">
      <w:start w:val="1"/>
      <w:numFmt w:val="lowerRoman"/>
      <w:pStyle w:val="Appendixi---"/>
      <w:lvlText w:val="(%4)"/>
      <w:lvlJc w:val="left"/>
      <w:pPr>
        <w:tabs>
          <w:tab w:val="num" w:pos="1843"/>
        </w:tabs>
        <w:ind w:left="1843" w:hanging="567"/>
      </w:pPr>
      <w:rPr>
        <w:rFonts w:hint="default"/>
      </w:rPr>
    </w:lvl>
    <w:lvl w:ilvl="4">
      <w:start w:val="1"/>
      <w:numFmt w:val="none"/>
      <w:suff w:val="nothing"/>
      <w:lvlText w:val=""/>
      <w:lvlJc w:val="left"/>
      <w:pPr>
        <w:ind w:left="1843" w:firstLine="0"/>
      </w:pPr>
      <w:rPr>
        <w:rFonts w:hint="default"/>
      </w:rPr>
    </w:lvl>
    <w:lvl w:ilvl="5">
      <w:start w:val="1"/>
      <w:numFmt w:val="none"/>
      <w:suff w:val="nothing"/>
      <w:lvlText w:val=""/>
      <w:lvlJc w:val="left"/>
      <w:pPr>
        <w:ind w:left="2268" w:firstLine="0"/>
      </w:pPr>
      <w:rPr>
        <w:rFonts w:hint="default"/>
      </w:rPr>
    </w:lvl>
    <w:lvl w:ilvl="6">
      <w:start w:val="1"/>
      <w:numFmt w:val="none"/>
      <w:lvlText w:val=""/>
      <w:lvlJc w:val="left"/>
      <w:pPr>
        <w:tabs>
          <w:tab w:val="num" w:pos="-710"/>
        </w:tabs>
        <w:ind w:left="-710" w:firstLine="0"/>
      </w:pPr>
      <w:rPr>
        <w:rFonts w:hint="default"/>
      </w:rPr>
    </w:lvl>
    <w:lvl w:ilvl="7">
      <w:start w:val="1"/>
      <w:numFmt w:val="none"/>
      <w:lvlText w:val=""/>
      <w:lvlJc w:val="left"/>
      <w:pPr>
        <w:tabs>
          <w:tab w:val="num" w:pos="-710"/>
        </w:tabs>
        <w:ind w:left="-710" w:firstLine="0"/>
      </w:pPr>
      <w:rPr>
        <w:rFonts w:hint="default"/>
      </w:rPr>
    </w:lvl>
    <w:lvl w:ilvl="8">
      <w:start w:val="1"/>
      <w:numFmt w:val="none"/>
      <w:lvlText w:val=""/>
      <w:lvlJc w:val="left"/>
      <w:pPr>
        <w:tabs>
          <w:tab w:val="num" w:pos="-710"/>
        </w:tabs>
        <w:ind w:left="-710" w:firstLine="0"/>
      </w:pPr>
      <w:rPr>
        <w:rFonts w:hint="default"/>
      </w:rPr>
    </w:lvl>
  </w:abstractNum>
  <w:abstractNum w:abstractNumId="6" w15:restartNumberingAfterBreak="0">
    <w:nsid w:val="775961AF"/>
    <w:multiLevelType w:val="hybridMultilevel"/>
    <w:tmpl w:val="9CB66F2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7E9A39E2"/>
    <w:multiLevelType w:val="hybridMultilevel"/>
    <w:tmpl w:val="81B43A1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1"/>
  </w:num>
  <w:num w:numId="4">
    <w:abstractNumId w:val="1"/>
    <w:lvlOverride w:ilvl="0">
      <w:lvl w:ilvl="0">
        <w:start w:val="1"/>
        <w:numFmt w:val="upperLetter"/>
        <w:lvlText w:val="Appendix %1"/>
        <w:lvlJc w:val="left"/>
        <w:pPr>
          <w:tabs>
            <w:tab w:val="num" w:pos="2268"/>
          </w:tabs>
          <w:ind w:left="2268" w:hanging="2268"/>
        </w:pPr>
        <w:rPr>
          <w:rFonts w:hint="default"/>
          <w:bCs w:val="0"/>
          <w:i w:val="0"/>
          <w:iCs w:val="0"/>
          <w:caps w:val="0"/>
          <w:smallCaps w:val="0"/>
          <w:strike w:val="0"/>
          <w:dstrike w:val="0"/>
          <w:noProof w:val="0"/>
          <w:vanish w:val="0"/>
          <w:color w:val="660033"/>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tabs>
            <w:tab w:val="num" w:pos="709"/>
          </w:tabs>
          <w:ind w:left="709" w:hanging="709"/>
        </w:pPr>
        <w:rPr>
          <w:rFonts w:hint="default"/>
        </w:rPr>
      </w:lvl>
    </w:lvlOverride>
    <w:lvlOverride w:ilvl="2">
      <w:lvl w:ilvl="2">
        <w:start w:val="1"/>
        <w:numFmt w:val="lowerLetter"/>
        <w:lvlText w:val="(%3)"/>
        <w:lvlJc w:val="left"/>
        <w:pPr>
          <w:tabs>
            <w:tab w:val="num" w:pos="1276"/>
          </w:tabs>
          <w:ind w:left="1276" w:hanging="567"/>
        </w:pPr>
        <w:rPr>
          <w:rFonts w:hint="default"/>
        </w:rPr>
      </w:lvl>
    </w:lvlOverride>
    <w:lvlOverride w:ilvl="3">
      <w:lvl w:ilvl="3">
        <w:start w:val="1"/>
        <w:numFmt w:val="lowerRoman"/>
        <w:lvlText w:val="(%4)"/>
        <w:lvlJc w:val="left"/>
        <w:pPr>
          <w:tabs>
            <w:tab w:val="num" w:pos="1843"/>
          </w:tabs>
          <w:ind w:left="1843" w:hanging="567"/>
        </w:pPr>
        <w:rPr>
          <w:rFonts w:hint="default"/>
        </w:rPr>
      </w:lvl>
    </w:lvlOverride>
    <w:lvlOverride w:ilvl="4">
      <w:lvl w:ilvl="4">
        <w:start w:val="1"/>
        <w:numFmt w:val="none"/>
        <w:suff w:val="nothing"/>
        <w:lvlText w:val=""/>
        <w:lvlJc w:val="left"/>
        <w:pPr>
          <w:ind w:left="1843" w:firstLine="0"/>
        </w:pPr>
        <w:rPr>
          <w:rFonts w:hint="default"/>
        </w:rPr>
      </w:lvl>
    </w:lvlOverride>
    <w:lvlOverride w:ilvl="5">
      <w:lvl w:ilvl="5">
        <w:start w:val="1"/>
        <w:numFmt w:val="none"/>
        <w:suff w:val="nothing"/>
        <w:lvlText w:val=""/>
        <w:lvlJc w:val="left"/>
        <w:pPr>
          <w:ind w:left="2268" w:firstLine="0"/>
        </w:pPr>
        <w:rPr>
          <w:rFonts w:hint="default"/>
        </w:rPr>
      </w:lvl>
    </w:lvlOverride>
    <w:lvlOverride w:ilvl="6">
      <w:lvl w:ilvl="6">
        <w:start w:val="1"/>
        <w:numFmt w:val="none"/>
        <w:lvlText w:val=""/>
        <w:lvlJc w:val="left"/>
        <w:pPr>
          <w:tabs>
            <w:tab w:val="num" w:pos="-710"/>
          </w:tabs>
          <w:ind w:left="-710" w:firstLine="0"/>
        </w:pPr>
        <w:rPr>
          <w:rFonts w:hint="default"/>
        </w:rPr>
      </w:lvl>
    </w:lvlOverride>
    <w:lvlOverride w:ilvl="7">
      <w:lvl w:ilvl="7">
        <w:start w:val="1"/>
        <w:numFmt w:val="none"/>
        <w:lvlText w:val=""/>
        <w:lvlJc w:val="left"/>
        <w:pPr>
          <w:tabs>
            <w:tab w:val="num" w:pos="-710"/>
          </w:tabs>
          <w:ind w:left="-710" w:firstLine="0"/>
        </w:pPr>
        <w:rPr>
          <w:rFonts w:hint="default"/>
        </w:rPr>
      </w:lvl>
    </w:lvlOverride>
    <w:lvlOverride w:ilvl="8">
      <w:lvl w:ilvl="8">
        <w:start w:val="1"/>
        <w:numFmt w:val="none"/>
        <w:lvlText w:val=""/>
        <w:lvlJc w:val="left"/>
        <w:pPr>
          <w:tabs>
            <w:tab w:val="num" w:pos="-710"/>
          </w:tabs>
          <w:ind w:left="-710" w:firstLine="0"/>
        </w:pPr>
        <w:rPr>
          <w:rFonts w:hint="default"/>
        </w:rPr>
      </w:lvl>
    </w:lvlOverride>
  </w:num>
  <w:num w:numId="5">
    <w:abstractNumId w:val="3"/>
  </w:num>
  <w:num w:numId="6">
    <w:abstractNumId w:val="6"/>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807"/>
    <w:rsid w:val="00150807"/>
    <w:rsid w:val="002C098C"/>
    <w:rsid w:val="002F0E5E"/>
    <w:rsid w:val="00321361"/>
    <w:rsid w:val="005D7B81"/>
    <w:rsid w:val="00934890"/>
  </w:rsids>
  <m:mathPr>
    <m:mathFont m:val="Cambria Math"/>
    <m:brkBin m:val="before"/>
    <m:brkBinSub m:val="--"/>
    <m:smallFrac m:val="0"/>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69CAB"/>
  <w15:chartTrackingRefBased/>
  <w15:docId w15:val="{CBCB37A8-1404-4B6C-8081-324FF0E26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8"/>
        <w:lang w:val="en-NZ" w:eastAsia="zh-CN" w:bidi="th-TH"/>
      </w:rPr>
    </w:rPrDefault>
    <w:pPrDefault>
      <w:pPr>
        <w:spacing w:after="160" w:line="259" w:lineRule="auto"/>
      </w:pPr>
    </w:pPrDefault>
  </w:docDefaults>
  <w:latentStyles w:defLockedState="0" w:defUIPriority="99"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99"/>
    <w:qFormat/>
    <w:rsid w:val="00150807"/>
    <w:pPr>
      <w:spacing w:after="0" w:line="280" w:lineRule="atLeast"/>
    </w:pPr>
    <w:rPr>
      <w:rFonts w:ascii="Arial" w:eastAsia="Times New Roman" w:hAnsi="Arial" w:cs="Times New Roman"/>
      <w:szCs w:val="20"/>
      <w:lang w:eastAsia="en-GB" w:bidi="ar-SA"/>
    </w:rPr>
  </w:style>
  <w:style w:type="paragraph" w:styleId="Heading1">
    <w:name w:val="heading 1"/>
    <w:aliases w:val="1. Heading"/>
    <w:basedOn w:val="BodyText"/>
    <w:next w:val="11Paragraph"/>
    <w:link w:val="Heading1Char"/>
    <w:uiPriority w:val="9"/>
    <w:qFormat/>
    <w:rsid w:val="00150807"/>
    <w:pPr>
      <w:keepNext/>
      <w:numPr>
        <w:numId w:val="2"/>
      </w:numPr>
      <w:spacing w:before="240" w:after="0" w:line="240" w:lineRule="atLeast"/>
      <w:ind w:right="-5"/>
      <w:contextualSpacing/>
      <w:outlineLvl w:val="0"/>
    </w:pPr>
    <w:rPr>
      <w:rFonts w:cs="Arial"/>
      <w:bCs/>
      <w:color w:val="540000"/>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Heading Char"/>
    <w:basedOn w:val="DefaultParagraphFont"/>
    <w:link w:val="Heading1"/>
    <w:uiPriority w:val="9"/>
    <w:rsid w:val="00150807"/>
    <w:rPr>
      <w:rFonts w:ascii="Arial" w:eastAsia="Times New Roman" w:hAnsi="Arial" w:cs="Arial"/>
      <w:bCs/>
      <w:color w:val="540000"/>
      <w:sz w:val="36"/>
      <w:szCs w:val="32"/>
      <w:lang w:eastAsia="en-GB" w:bidi="ar-SA"/>
    </w:rPr>
  </w:style>
  <w:style w:type="paragraph" w:customStyle="1" w:styleId="a---">
    <w:name w:val="(a) ---"/>
    <w:basedOn w:val="BodyText"/>
    <w:uiPriority w:val="2"/>
    <w:qFormat/>
    <w:rsid w:val="00150807"/>
    <w:pPr>
      <w:numPr>
        <w:ilvl w:val="2"/>
        <w:numId w:val="2"/>
      </w:numPr>
      <w:tabs>
        <w:tab w:val="num" w:pos="360"/>
      </w:tabs>
      <w:spacing w:before="40"/>
      <w:ind w:left="0" w:right="-5" w:firstLine="0"/>
    </w:pPr>
  </w:style>
  <w:style w:type="paragraph" w:customStyle="1" w:styleId="i---">
    <w:name w:val="(i)---"/>
    <w:basedOn w:val="BodyText"/>
    <w:uiPriority w:val="3"/>
    <w:qFormat/>
    <w:rsid w:val="00150807"/>
    <w:pPr>
      <w:numPr>
        <w:ilvl w:val="3"/>
        <w:numId w:val="2"/>
      </w:numPr>
      <w:tabs>
        <w:tab w:val="num" w:pos="360"/>
      </w:tabs>
      <w:spacing w:before="40"/>
      <w:ind w:left="0" w:right="-5" w:firstLine="0"/>
    </w:pPr>
  </w:style>
  <w:style w:type="paragraph" w:customStyle="1" w:styleId="AAppendix">
    <w:name w:val="A Appendix"/>
    <w:basedOn w:val="BodyText"/>
    <w:next w:val="AppendixA1"/>
    <w:uiPriority w:val="28"/>
    <w:qFormat/>
    <w:rsid w:val="00150807"/>
    <w:pPr>
      <w:keepNext/>
      <w:pageBreakBefore/>
      <w:numPr>
        <w:numId w:val="1"/>
      </w:numPr>
      <w:tabs>
        <w:tab w:val="clear" w:pos="2268"/>
        <w:tab w:val="num" w:pos="360"/>
      </w:tabs>
      <w:spacing w:before="40" w:after="60" w:line="240" w:lineRule="auto"/>
      <w:ind w:left="0" w:right="-5" w:firstLine="0"/>
      <w:outlineLvl w:val="0"/>
    </w:pPr>
    <w:rPr>
      <w:color w:val="540000"/>
      <w:sz w:val="36"/>
      <w:szCs w:val="28"/>
    </w:rPr>
  </w:style>
  <w:style w:type="paragraph" w:customStyle="1" w:styleId="TableBodyText">
    <w:name w:val="Table Body Text"/>
    <w:basedOn w:val="BodyText"/>
    <w:uiPriority w:val="19"/>
    <w:rsid w:val="00150807"/>
    <w:pPr>
      <w:spacing w:before="60" w:after="80" w:line="240" w:lineRule="atLeast"/>
      <w:ind w:right="360"/>
    </w:pPr>
    <w:rPr>
      <w:sz w:val="21"/>
      <w:szCs w:val="21"/>
    </w:rPr>
  </w:style>
  <w:style w:type="table" w:customStyle="1" w:styleId="EADataTable">
    <w:name w:val="EA Data Table"/>
    <w:basedOn w:val="TableNormal"/>
    <w:rsid w:val="00150807"/>
    <w:pPr>
      <w:spacing w:before="40" w:after="40" w:line="240" w:lineRule="auto"/>
    </w:pPr>
    <w:rPr>
      <w:rFonts w:ascii="Arial" w:eastAsia="Times New Roman" w:hAnsi="Arial" w:cs="Times New Roman"/>
      <w:sz w:val="20"/>
      <w:szCs w:val="20"/>
      <w:lang w:eastAsia="en-NZ" w:bidi="ar-SA"/>
    </w:rPr>
    <w:tblPr>
      <w:tblInd w:w="709" w:type="dxa"/>
      <w:tblCellMar>
        <w:left w:w="0" w:type="dxa"/>
        <w:right w:w="0" w:type="dxa"/>
      </w:tblCellMar>
    </w:tblPr>
    <w:tcPr>
      <w:shd w:val="clear" w:color="auto" w:fill="auto"/>
    </w:tcPr>
    <w:tblStylePr w:type="firstRow">
      <w:pPr>
        <w:wordWrap/>
        <w:jc w:val="left"/>
      </w:pPr>
      <w:rPr>
        <w:rFonts w:ascii="Arial" w:hAnsi="Arial"/>
        <w:b w:val="0"/>
        <w:sz w:val="20"/>
      </w:rPr>
      <w:tblPr/>
      <w:tcPr>
        <w:tcBorders>
          <w:top w:val="single" w:sz="4" w:space="0" w:color="auto"/>
          <w:left w:val="nil"/>
          <w:bottom w:val="single" w:sz="4" w:space="0" w:color="auto"/>
          <w:right w:val="nil"/>
          <w:insideH w:val="nil"/>
          <w:insideV w:val="nil"/>
          <w:tl2br w:val="nil"/>
          <w:tr2bl w:val="nil"/>
        </w:tcBorders>
        <w:shd w:val="clear" w:color="auto" w:fill="auto"/>
      </w:tcPr>
    </w:tblStylePr>
    <w:tblStylePr w:type="lastRow">
      <w:rPr>
        <w:rFonts w:ascii="Arial" w:hAnsi="Arial"/>
        <w:sz w:val="20"/>
      </w:rPr>
      <w:tblPr/>
      <w:tcPr>
        <w:tcBorders>
          <w:top w:val="nil"/>
          <w:left w:val="nil"/>
          <w:bottom w:val="single" w:sz="4" w:space="0" w:color="auto"/>
          <w:right w:val="nil"/>
          <w:insideH w:val="nil"/>
          <w:insideV w:val="nil"/>
          <w:tl2br w:val="nil"/>
          <w:tr2bl w:val="nil"/>
        </w:tcBorders>
        <w:shd w:val="clear" w:color="auto" w:fill="auto"/>
      </w:tcPr>
    </w:tblStylePr>
  </w:style>
  <w:style w:type="paragraph" w:customStyle="1" w:styleId="11Paragraph">
    <w:name w:val="1.1 Paragraph"/>
    <w:basedOn w:val="BodyText"/>
    <w:uiPriority w:val="1"/>
    <w:qFormat/>
    <w:rsid w:val="00150807"/>
    <w:pPr>
      <w:numPr>
        <w:ilvl w:val="1"/>
        <w:numId w:val="2"/>
      </w:numPr>
      <w:tabs>
        <w:tab w:val="num" w:pos="360"/>
      </w:tabs>
      <w:spacing w:before="120"/>
      <w:ind w:left="0" w:right="-6" w:firstLine="0"/>
    </w:pPr>
    <w:rPr>
      <w:rFonts w:cs="Arial"/>
    </w:rPr>
  </w:style>
  <w:style w:type="paragraph" w:customStyle="1" w:styleId="Appendixi---">
    <w:name w:val="Appendix    (i) ---"/>
    <w:basedOn w:val="Normal"/>
    <w:uiPriority w:val="31"/>
    <w:qFormat/>
    <w:rsid w:val="00150807"/>
    <w:pPr>
      <w:numPr>
        <w:ilvl w:val="3"/>
        <w:numId w:val="1"/>
      </w:numPr>
      <w:spacing w:after="120"/>
    </w:pPr>
  </w:style>
  <w:style w:type="paragraph" w:customStyle="1" w:styleId="Appendixa---">
    <w:name w:val="Appendix (a) ---"/>
    <w:basedOn w:val="Normal"/>
    <w:uiPriority w:val="30"/>
    <w:qFormat/>
    <w:rsid w:val="00150807"/>
    <w:pPr>
      <w:numPr>
        <w:ilvl w:val="2"/>
        <w:numId w:val="1"/>
      </w:numPr>
      <w:spacing w:after="120"/>
    </w:pPr>
  </w:style>
  <w:style w:type="paragraph" w:customStyle="1" w:styleId="AppendixA1">
    <w:name w:val="Appendix A.1"/>
    <w:basedOn w:val="Appendixa---"/>
    <w:uiPriority w:val="29"/>
    <w:qFormat/>
    <w:rsid w:val="00150807"/>
    <w:pPr>
      <w:numPr>
        <w:ilvl w:val="1"/>
      </w:numPr>
    </w:pPr>
  </w:style>
  <w:style w:type="paragraph" w:customStyle="1" w:styleId="1FourthLevel">
    <w:name w:val="1. Fourth Level"/>
    <w:basedOn w:val="BodyText"/>
    <w:uiPriority w:val="2"/>
    <w:qFormat/>
    <w:rsid w:val="00150807"/>
    <w:pPr>
      <w:numPr>
        <w:ilvl w:val="4"/>
        <w:numId w:val="2"/>
      </w:numPr>
      <w:tabs>
        <w:tab w:val="clear" w:pos="2410"/>
        <w:tab w:val="num" w:pos="360"/>
      </w:tabs>
      <w:spacing w:before="40"/>
      <w:ind w:left="0" w:right="-5" w:firstLine="0"/>
    </w:pPr>
  </w:style>
  <w:style w:type="numbering" w:customStyle="1" w:styleId="EAAppendixList">
    <w:name w:val="EA Appendix List"/>
    <w:uiPriority w:val="99"/>
    <w:rsid w:val="00150807"/>
    <w:pPr>
      <w:numPr>
        <w:numId w:val="3"/>
      </w:numPr>
    </w:pPr>
  </w:style>
  <w:style w:type="numbering" w:customStyle="1" w:styleId="ESList1">
    <w:name w:val="ES List1"/>
    <w:rsid w:val="00150807"/>
    <w:pPr>
      <w:numPr>
        <w:numId w:val="2"/>
      </w:numPr>
    </w:pPr>
  </w:style>
  <w:style w:type="paragraph" w:styleId="BodyText">
    <w:name w:val="Body Text"/>
    <w:basedOn w:val="Normal"/>
    <w:link w:val="BodyTextChar"/>
    <w:uiPriority w:val="99"/>
    <w:semiHidden/>
    <w:unhideWhenUsed/>
    <w:rsid w:val="00150807"/>
    <w:pPr>
      <w:spacing w:after="120"/>
    </w:pPr>
  </w:style>
  <w:style w:type="character" w:customStyle="1" w:styleId="BodyTextChar">
    <w:name w:val="Body Text Char"/>
    <w:basedOn w:val="DefaultParagraphFont"/>
    <w:link w:val="BodyText"/>
    <w:uiPriority w:val="99"/>
    <w:semiHidden/>
    <w:rsid w:val="00150807"/>
    <w:rPr>
      <w:rFonts w:ascii="Arial" w:eastAsia="Times New Roman" w:hAnsi="Arial" w:cs="Times New Roman"/>
      <w:szCs w:val="20"/>
      <w:lang w:eastAsia="en-GB" w:bidi="ar-SA"/>
    </w:rPr>
  </w:style>
  <w:style w:type="paragraph" w:styleId="ListParagraph">
    <w:name w:val="List Paragraph"/>
    <w:basedOn w:val="Normal"/>
    <w:uiPriority w:val="34"/>
    <w:qFormat/>
    <w:rsid w:val="002F0E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1034</Words>
  <Characters>5895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Martin</dc:creator>
  <cp:keywords/>
  <dc:description/>
  <cp:lastModifiedBy>Jessica Walker</cp:lastModifiedBy>
  <cp:revision>2</cp:revision>
  <dcterms:created xsi:type="dcterms:W3CDTF">2021-11-16T01:57:00Z</dcterms:created>
  <dcterms:modified xsi:type="dcterms:W3CDTF">2021-11-16T01:57:00Z</dcterms:modified>
</cp:coreProperties>
</file>