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03802" w14:textId="2C7E5792" w:rsidR="00EF2593" w:rsidRDefault="006F7E89" w:rsidP="006F7E89">
      <w:pPr>
        <w:pStyle w:val="AppendixHeading"/>
        <w:numPr>
          <w:ilvl w:val="0"/>
          <w:numId w:val="0"/>
        </w:numPr>
        <w:spacing w:before="0" w:after="0"/>
        <w:ind w:left="2268" w:hanging="2268"/>
        <w:rPr>
          <w:rFonts w:asciiTheme="minorBidi" w:hAnsiTheme="minorBidi"/>
          <w:color w:val="0E2841" w:themeColor="text2"/>
          <w:lang w:eastAsia="en-NZ"/>
        </w:rPr>
      </w:pPr>
      <w:bookmarkStart w:id="0" w:name="_Toc203741682"/>
      <w:r>
        <w:rPr>
          <w:rFonts w:asciiTheme="minorBidi" w:hAnsiTheme="minorBidi"/>
          <w:color w:val="0E2841" w:themeColor="text2"/>
          <w:lang w:eastAsia="en-NZ"/>
        </w:rPr>
        <w:t>Appendix C</w:t>
      </w:r>
      <w:r>
        <w:rPr>
          <w:rFonts w:asciiTheme="minorBidi" w:hAnsiTheme="minorBidi"/>
          <w:color w:val="0E2841" w:themeColor="text2"/>
          <w:lang w:eastAsia="en-NZ"/>
        </w:rPr>
        <w:tab/>
      </w:r>
      <w:r w:rsidR="00EF2593" w:rsidRPr="008132DB">
        <w:rPr>
          <w:rFonts w:asciiTheme="minorBidi" w:hAnsiTheme="minorBidi"/>
          <w:color w:val="0E2841" w:themeColor="text2"/>
          <w:lang w:eastAsia="en-NZ"/>
        </w:rPr>
        <w:t>Format for submissions</w:t>
      </w:r>
      <w:bookmarkEnd w:id="0"/>
    </w:p>
    <w:p w14:paraId="00075272" w14:textId="7860784C" w:rsidR="00E458BD" w:rsidRPr="00E458BD" w:rsidRDefault="00E458BD" w:rsidP="00E458BD">
      <w:pPr>
        <w:ind w:left="1548" w:firstLine="720"/>
        <w:rPr>
          <w:color w:val="0E2841"/>
          <w:lang w:val="en-NZ" w:eastAsia="en-NZ"/>
        </w:rPr>
      </w:pPr>
      <w:r w:rsidRPr="00E458BD">
        <w:rPr>
          <w:color w:val="0E2841"/>
          <w:lang w:val="en-NZ" w:eastAsia="en-NZ"/>
        </w:rPr>
        <w:t>Establishing an Emergency Response Scheme</w:t>
      </w:r>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3681"/>
        <w:gridCol w:w="5670"/>
      </w:tblGrid>
      <w:tr w:rsidR="00EF2593" w:rsidRPr="008132DB" w14:paraId="6D021240" w14:textId="77777777" w:rsidTr="00E458BD">
        <w:trPr>
          <w:cnfStyle w:val="100000000000" w:firstRow="1" w:lastRow="0" w:firstColumn="0" w:lastColumn="0" w:oddVBand="0" w:evenVBand="0" w:oddHBand="0" w:evenHBand="0" w:firstRowFirstColumn="0" w:firstRowLastColumn="0" w:lastRowFirstColumn="0" w:lastRowLastColumn="0"/>
        </w:trPr>
        <w:tc>
          <w:tcPr>
            <w:tcW w:w="3681" w:type="dxa"/>
            <w:shd w:val="clear" w:color="auto" w:fill="0A2F41" w:themeFill="accent1" w:themeFillShade="80"/>
          </w:tcPr>
          <w:p w14:paraId="2E61616B" w14:textId="77777777" w:rsidR="00EF2593" w:rsidRPr="008132DB" w:rsidRDefault="00EF2593" w:rsidP="004E39FD">
            <w:pPr>
              <w:pStyle w:val="Tabletext"/>
              <w:rPr>
                <w:rFonts w:asciiTheme="minorBidi" w:hAnsiTheme="minorBidi"/>
              </w:rPr>
            </w:pPr>
            <w:r w:rsidRPr="008132DB">
              <w:rPr>
                <w:rFonts w:asciiTheme="minorBidi" w:hAnsiTheme="minorBidi"/>
              </w:rPr>
              <w:t>Submitter</w:t>
            </w:r>
          </w:p>
        </w:tc>
        <w:tc>
          <w:tcPr>
            <w:tcW w:w="5670" w:type="dxa"/>
            <w:shd w:val="clear" w:color="auto" w:fill="F4F4F4"/>
          </w:tcPr>
          <w:p w14:paraId="68E324A7" w14:textId="77777777" w:rsidR="00EF2593" w:rsidRPr="008132DB" w:rsidRDefault="00EF2593" w:rsidP="004E39FD">
            <w:pPr>
              <w:rPr>
                <w:rFonts w:asciiTheme="minorBidi" w:hAnsiTheme="minorBidi"/>
                <w:b w:val="0"/>
                <w:bCs/>
              </w:rPr>
            </w:pPr>
          </w:p>
        </w:tc>
      </w:tr>
    </w:tbl>
    <w:p w14:paraId="03831D8F" w14:textId="77777777" w:rsidR="00EF2593" w:rsidRPr="00CC3EF0" w:rsidRDefault="00EF2593" w:rsidP="00EF2593"/>
    <w:tbl>
      <w:tblPr>
        <w:tblStyle w:val="EATable2"/>
        <w:tblW w:w="0" w:type="auto"/>
        <w:tblLook w:val="04A0" w:firstRow="1" w:lastRow="0" w:firstColumn="1" w:lastColumn="0" w:noHBand="0" w:noVBand="1"/>
      </w:tblPr>
      <w:tblGrid>
        <w:gridCol w:w="3686"/>
        <w:gridCol w:w="5670"/>
      </w:tblGrid>
      <w:tr w:rsidR="00EF2593" w:rsidRPr="008132DB" w14:paraId="1F41A237" w14:textId="77777777" w:rsidTr="008132DB">
        <w:trPr>
          <w:cnfStyle w:val="100000000000" w:firstRow="1" w:lastRow="0" w:firstColumn="0" w:lastColumn="0" w:oddVBand="0" w:evenVBand="0" w:oddHBand="0" w:evenHBand="0" w:firstRowFirstColumn="0" w:firstRowLastColumn="0" w:lastRowFirstColumn="0" w:lastRowLastColumn="0"/>
        </w:trPr>
        <w:tc>
          <w:tcPr>
            <w:tcW w:w="3686" w:type="dxa"/>
            <w:shd w:val="clear" w:color="auto" w:fill="0A2F41" w:themeFill="accent1" w:themeFillShade="80"/>
          </w:tcPr>
          <w:p w14:paraId="5811B79C" w14:textId="77777777" w:rsidR="00EF2593" w:rsidRPr="008132DB" w:rsidRDefault="00EF2593" w:rsidP="004E39FD">
            <w:pPr>
              <w:pStyle w:val="Tabletext"/>
              <w:rPr>
                <w:rFonts w:asciiTheme="minorBidi" w:hAnsiTheme="minorBidi"/>
              </w:rPr>
            </w:pPr>
            <w:r w:rsidRPr="008132DB">
              <w:rPr>
                <w:rFonts w:asciiTheme="minorBidi" w:hAnsiTheme="minorBidi"/>
              </w:rPr>
              <w:t>Questions</w:t>
            </w:r>
          </w:p>
        </w:tc>
        <w:tc>
          <w:tcPr>
            <w:tcW w:w="5670" w:type="dxa"/>
            <w:shd w:val="clear" w:color="auto" w:fill="0A2F41" w:themeFill="accent1" w:themeFillShade="80"/>
          </w:tcPr>
          <w:p w14:paraId="3ABDD282" w14:textId="77777777" w:rsidR="00EF2593" w:rsidRPr="008132DB" w:rsidRDefault="00EF2593" w:rsidP="004E39FD">
            <w:pPr>
              <w:pStyle w:val="Tabletext"/>
              <w:rPr>
                <w:rFonts w:asciiTheme="minorBidi" w:hAnsiTheme="minorBidi"/>
              </w:rPr>
            </w:pPr>
            <w:r w:rsidRPr="008132DB">
              <w:rPr>
                <w:rFonts w:asciiTheme="minorBidi" w:hAnsiTheme="minorBidi"/>
              </w:rPr>
              <w:t>Comments</w:t>
            </w:r>
          </w:p>
        </w:tc>
      </w:tr>
      <w:tr w:rsidR="00EF2593" w:rsidRPr="00CC3EF0" w14:paraId="2842C773"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33F8DB6B" w14:textId="77777777" w:rsidR="00EF2593" w:rsidRPr="008132DB" w:rsidRDefault="00EF2593" w:rsidP="00EF2593">
            <w:pPr>
              <w:pStyle w:val="ListParagraph"/>
              <w:numPr>
                <w:ilvl w:val="0"/>
                <w:numId w:val="3"/>
              </w:numPr>
              <w:ind w:left="606" w:hanging="606"/>
              <w:rPr>
                <w:rFonts w:asciiTheme="minorBidi" w:hAnsiTheme="minorBidi"/>
              </w:rPr>
            </w:pPr>
            <w:r w:rsidRPr="008132DB">
              <w:rPr>
                <w:rFonts w:asciiTheme="minorBidi" w:hAnsiTheme="minorBidi"/>
              </w:rPr>
              <w:t>Do you agree with our rationale for establishing an ERS? Why/why not?</w:t>
            </w:r>
          </w:p>
        </w:tc>
        <w:tc>
          <w:tcPr>
            <w:tcW w:w="5670" w:type="dxa"/>
          </w:tcPr>
          <w:p w14:paraId="6D065DA0" w14:textId="77777777" w:rsidR="00EF2593" w:rsidRPr="00CC3EF0" w:rsidRDefault="00EF2593" w:rsidP="004E39FD">
            <w:pPr>
              <w:pStyle w:val="Tabletext"/>
            </w:pPr>
          </w:p>
        </w:tc>
      </w:tr>
      <w:tr w:rsidR="00EF2593" w:rsidRPr="00CC3EF0" w14:paraId="4842BB2D"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24EA583A" w14:textId="77777777" w:rsidR="00EF2593" w:rsidRPr="008132DB" w:rsidRDefault="00EF2593" w:rsidP="00EF2593">
            <w:pPr>
              <w:pStyle w:val="ListParagraph"/>
              <w:numPr>
                <w:ilvl w:val="0"/>
                <w:numId w:val="3"/>
              </w:numPr>
              <w:ind w:left="606" w:hanging="606"/>
              <w:rPr>
                <w:rFonts w:asciiTheme="minorBidi" w:hAnsiTheme="minorBidi"/>
              </w:rPr>
            </w:pPr>
            <w:r w:rsidRPr="008132DB">
              <w:rPr>
                <w:rFonts w:asciiTheme="minorBidi" w:hAnsiTheme="minorBidi"/>
              </w:rPr>
              <w:t>Are there other factors or risks you consider relevant to our decision to implement an ERS?</w:t>
            </w:r>
          </w:p>
        </w:tc>
        <w:tc>
          <w:tcPr>
            <w:tcW w:w="5670" w:type="dxa"/>
          </w:tcPr>
          <w:p w14:paraId="4D476D8E" w14:textId="77777777" w:rsidR="00EF2593" w:rsidRPr="00CC3EF0" w:rsidRDefault="00EF2593" w:rsidP="004E39FD">
            <w:pPr>
              <w:pStyle w:val="Tabletext"/>
            </w:pPr>
          </w:p>
        </w:tc>
      </w:tr>
      <w:tr w:rsidR="00EF2593" w:rsidRPr="00CC3EF0" w14:paraId="45F229C2"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431377FA" w14:textId="77777777" w:rsidR="00EF2593" w:rsidRPr="008132DB" w:rsidRDefault="00EF2593" w:rsidP="00EF2593">
            <w:pPr>
              <w:pStyle w:val="ListParagraph"/>
              <w:numPr>
                <w:ilvl w:val="0"/>
                <w:numId w:val="3"/>
              </w:numPr>
              <w:ind w:left="606" w:hanging="606"/>
              <w:rPr>
                <w:rFonts w:asciiTheme="minorBidi" w:hAnsiTheme="minorBidi"/>
              </w:rPr>
            </w:pPr>
            <w:r w:rsidRPr="008132DB">
              <w:rPr>
                <w:rFonts w:asciiTheme="minorBidi" w:hAnsiTheme="minorBidi"/>
              </w:rPr>
              <w:t xml:space="preserve">Do you agree with our proposal that only demand-side flexibility, including by industrials and aggregations of smaller consumers, should be eligible to provide ERS? </w:t>
            </w:r>
          </w:p>
        </w:tc>
        <w:tc>
          <w:tcPr>
            <w:tcW w:w="5670" w:type="dxa"/>
          </w:tcPr>
          <w:p w14:paraId="5CEE885C" w14:textId="77777777" w:rsidR="00EF2593" w:rsidRPr="00CC3EF0" w:rsidRDefault="00EF2593" w:rsidP="004E39FD">
            <w:pPr>
              <w:pStyle w:val="Tabletext"/>
            </w:pPr>
          </w:p>
        </w:tc>
      </w:tr>
      <w:tr w:rsidR="00EF2593" w:rsidRPr="00CC3EF0" w14:paraId="77404E6E"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7638C660" w14:textId="77777777" w:rsidR="00EF2593" w:rsidRPr="008132DB" w:rsidRDefault="00EF2593" w:rsidP="00EF2593">
            <w:pPr>
              <w:pStyle w:val="ListParagraph"/>
              <w:numPr>
                <w:ilvl w:val="0"/>
                <w:numId w:val="3"/>
              </w:numPr>
              <w:ind w:left="606" w:hanging="606"/>
              <w:rPr>
                <w:rFonts w:asciiTheme="minorBidi" w:hAnsiTheme="minorBidi"/>
              </w:rPr>
            </w:pPr>
            <w:r w:rsidRPr="008132DB">
              <w:rPr>
                <w:rFonts w:asciiTheme="minorBidi" w:hAnsiTheme="minorBidi"/>
              </w:rPr>
              <w:t>Are you aware of any off-market generation or batteries that may not be activated in an emergency if they are not included in an ERS? Please provide details of the type and scale of these resources.</w:t>
            </w:r>
          </w:p>
        </w:tc>
        <w:tc>
          <w:tcPr>
            <w:tcW w:w="5670" w:type="dxa"/>
          </w:tcPr>
          <w:p w14:paraId="7B1F34FA" w14:textId="77777777" w:rsidR="00EF2593" w:rsidRPr="00CC3EF0" w:rsidRDefault="00EF2593" w:rsidP="004E39FD">
            <w:pPr>
              <w:pStyle w:val="Tabletext"/>
            </w:pPr>
          </w:p>
        </w:tc>
      </w:tr>
      <w:tr w:rsidR="00EF2593" w:rsidRPr="00CC3EF0" w14:paraId="03B25A7E"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790DDCA6" w14:textId="5CDE5D82" w:rsidR="00EF2593" w:rsidRPr="008132DB" w:rsidRDefault="00EF2593" w:rsidP="00EF2593">
            <w:pPr>
              <w:pStyle w:val="ListParagraph"/>
              <w:numPr>
                <w:ilvl w:val="0"/>
                <w:numId w:val="3"/>
              </w:numPr>
              <w:ind w:left="606" w:hanging="606"/>
              <w:rPr>
                <w:rFonts w:asciiTheme="minorBidi" w:hAnsiTheme="minorBidi"/>
              </w:rPr>
            </w:pPr>
            <w:r w:rsidRPr="008132DB">
              <w:rPr>
                <w:rFonts w:asciiTheme="minorBidi" w:hAnsiTheme="minorBidi"/>
              </w:rPr>
              <w:t>Do you agree with our proposed design elements for procurement of ERS by the System Operator, including the procurement process, timing and trigger?</w:t>
            </w:r>
            <w:r w:rsidR="004E39FD" w:rsidRPr="008132DB">
              <w:rPr>
                <w:rFonts w:asciiTheme="minorBidi" w:hAnsiTheme="minorBidi"/>
              </w:rPr>
              <w:t xml:space="preserve"> </w:t>
            </w:r>
          </w:p>
        </w:tc>
        <w:tc>
          <w:tcPr>
            <w:tcW w:w="5670" w:type="dxa"/>
          </w:tcPr>
          <w:p w14:paraId="2DAF4B86" w14:textId="77777777" w:rsidR="00EF2593" w:rsidRDefault="00EF2593" w:rsidP="004E39FD">
            <w:pPr>
              <w:pStyle w:val="Tabletext"/>
            </w:pPr>
          </w:p>
          <w:p w14:paraId="12E2CD3D" w14:textId="77777777" w:rsidR="004E39FD" w:rsidRDefault="004E39FD" w:rsidP="004E39FD">
            <w:pPr>
              <w:pStyle w:val="Tabletext"/>
            </w:pPr>
          </w:p>
          <w:p w14:paraId="6AA37547" w14:textId="77777777" w:rsidR="004E39FD" w:rsidRDefault="004E39FD" w:rsidP="004E39FD">
            <w:pPr>
              <w:pStyle w:val="Tabletext"/>
            </w:pPr>
          </w:p>
          <w:p w14:paraId="26152EEF" w14:textId="77777777" w:rsidR="004E39FD" w:rsidRDefault="004E39FD" w:rsidP="004E39FD">
            <w:pPr>
              <w:pStyle w:val="Tabletext"/>
            </w:pPr>
          </w:p>
          <w:p w14:paraId="23D6D4E7" w14:textId="77777777" w:rsidR="004E39FD" w:rsidRPr="00CC3EF0" w:rsidRDefault="004E39FD" w:rsidP="004E39FD">
            <w:pPr>
              <w:pStyle w:val="Tabletext"/>
            </w:pPr>
          </w:p>
        </w:tc>
      </w:tr>
      <w:tr w:rsidR="00EF2593" w:rsidRPr="00CC3EF0" w14:paraId="39E41C70"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6C464C91" w14:textId="77777777" w:rsidR="00EF2593" w:rsidRPr="008132DB" w:rsidRDefault="00EF2593" w:rsidP="00EF2593">
            <w:pPr>
              <w:pStyle w:val="ListParagraph"/>
              <w:numPr>
                <w:ilvl w:val="0"/>
                <w:numId w:val="3"/>
              </w:numPr>
              <w:ind w:left="606" w:hanging="606"/>
              <w:rPr>
                <w:rFonts w:asciiTheme="minorBidi" w:hAnsiTheme="minorBidi"/>
              </w:rPr>
            </w:pPr>
            <w:r w:rsidRPr="008132DB">
              <w:rPr>
                <w:rFonts w:asciiTheme="minorBidi" w:hAnsiTheme="minorBidi"/>
              </w:rPr>
              <w:t>Do you consider that procurement up to 4 weeks in advance of an identified need, coupled with a pre-</w:t>
            </w:r>
            <w:r w:rsidRPr="008132DB">
              <w:rPr>
                <w:rFonts w:asciiTheme="minorBidi" w:hAnsiTheme="minorBidi"/>
              </w:rPr>
              <w:lastRenderedPageBreak/>
              <w:t>approved panel of providers, will be effective and provide adequate time for potential providers and the System Operator?</w:t>
            </w:r>
          </w:p>
        </w:tc>
        <w:tc>
          <w:tcPr>
            <w:tcW w:w="5670" w:type="dxa"/>
          </w:tcPr>
          <w:p w14:paraId="3C572743" w14:textId="77777777" w:rsidR="00EF2593" w:rsidRDefault="00EF2593" w:rsidP="004E39FD">
            <w:pPr>
              <w:pStyle w:val="Tabletext"/>
            </w:pPr>
          </w:p>
          <w:p w14:paraId="5FF44ABD" w14:textId="77777777" w:rsidR="004E39FD" w:rsidRPr="00CC3EF0" w:rsidRDefault="004E39FD" w:rsidP="004E39FD">
            <w:pPr>
              <w:pStyle w:val="Tabletext"/>
            </w:pPr>
          </w:p>
        </w:tc>
      </w:tr>
      <w:tr w:rsidR="00EF2593" w:rsidRPr="00CC3EF0" w14:paraId="7BE7C9E3"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7F23BE1D" w14:textId="77777777" w:rsidR="00EF2593" w:rsidRPr="008132DB" w:rsidRDefault="00EF2593" w:rsidP="00EF2593">
            <w:pPr>
              <w:pStyle w:val="ListParagraph"/>
              <w:numPr>
                <w:ilvl w:val="0"/>
                <w:numId w:val="3"/>
              </w:numPr>
              <w:ind w:left="606" w:hanging="606"/>
              <w:rPr>
                <w:rFonts w:asciiTheme="minorBidi" w:hAnsiTheme="minorBidi"/>
              </w:rPr>
            </w:pPr>
            <w:r w:rsidRPr="008132DB">
              <w:rPr>
                <w:rFonts w:asciiTheme="minorBidi" w:hAnsiTheme="minorBidi"/>
              </w:rPr>
              <w:t>Do you agree with our proposed pre-activation and activation processes for use of ERS?</w:t>
            </w:r>
          </w:p>
        </w:tc>
        <w:tc>
          <w:tcPr>
            <w:tcW w:w="5670" w:type="dxa"/>
          </w:tcPr>
          <w:p w14:paraId="19415F0A" w14:textId="77777777" w:rsidR="00EF2593" w:rsidRPr="00CC3EF0" w:rsidRDefault="00EF2593" w:rsidP="004E39FD">
            <w:pPr>
              <w:pStyle w:val="Tabletext"/>
            </w:pPr>
          </w:p>
        </w:tc>
      </w:tr>
      <w:tr w:rsidR="00EF2593" w:rsidRPr="00CC3EF0" w14:paraId="17C61F6C"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0638FFB5"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Do you agree that the System Operator should be required to update relevant planning processes to take account of forecast uncertainty? If so, how do you consider this should be done?</w:t>
            </w:r>
          </w:p>
        </w:tc>
        <w:tc>
          <w:tcPr>
            <w:tcW w:w="5670" w:type="dxa"/>
          </w:tcPr>
          <w:p w14:paraId="53B66824" w14:textId="77777777" w:rsidR="00EF2593" w:rsidRPr="00CC3EF0" w:rsidRDefault="00EF2593" w:rsidP="004E39FD">
            <w:pPr>
              <w:pStyle w:val="Tabletext"/>
            </w:pPr>
          </w:p>
        </w:tc>
      </w:tr>
      <w:tr w:rsidR="00EF2593" w:rsidRPr="00CC3EF0" w14:paraId="709E687E"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26B02CC1"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 xml:space="preserve">Do you agree with our proposed compensation and price settings for the ERS, including proposed measures to ensure overall unit costs do not exceed </w:t>
            </w:r>
            <w:proofErr w:type="spellStart"/>
            <w:r w:rsidRPr="008132DB">
              <w:rPr>
                <w:rFonts w:asciiTheme="minorBidi" w:hAnsiTheme="minorBidi"/>
              </w:rPr>
              <w:t>VoLL</w:t>
            </w:r>
            <w:proofErr w:type="spellEnd"/>
            <w:r w:rsidRPr="008132DB">
              <w:rPr>
                <w:rFonts w:asciiTheme="minorBidi" w:hAnsiTheme="minorBidi"/>
              </w:rPr>
              <w:t>?</w:t>
            </w:r>
          </w:p>
        </w:tc>
        <w:tc>
          <w:tcPr>
            <w:tcW w:w="5670" w:type="dxa"/>
          </w:tcPr>
          <w:p w14:paraId="4FB1BCA2" w14:textId="77777777" w:rsidR="00EF2593" w:rsidRPr="00CC3EF0" w:rsidRDefault="00EF2593" w:rsidP="004E39FD">
            <w:pPr>
              <w:pStyle w:val="Tabletext"/>
            </w:pPr>
          </w:p>
        </w:tc>
      </w:tr>
      <w:tr w:rsidR="00EF2593" w:rsidRPr="00CC3EF0" w14:paraId="7766D771"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081B9B38"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 xml:space="preserve">Do you consider that the System Operator should also be required to ensure overall costs during an ERS activation are less than </w:t>
            </w:r>
            <w:proofErr w:type="spellStart"/>
            <w:r w:rsidRPr="008132DB">
              <w:rPr>
                <w:rFonts w:asciiTheme="minorBidi" w:hAnsiTheme="minorBidi"/>
              </w:rPr>
              <w:t>VoLL</w:t>
            </w:r>
            <w:proofErr w:type="spellEnd"/>
            <w:r w:rsidRPr="008132DB">
              <w:rPr>
                <w:rFonts w:asciiTheme="minorBidi" w:hAnsiTheme="minorBidi"/>
              </w:rPr>
              <w:t>? If so, how do you consider this could be practically achieved in the available time?</w:t>
            </w:r>
          </w:p>
        </w:tc>
        <w:tc>
          <w:tcPr>
            <w:tcW w:w="5670" w:type="dxa"/>
          </w:tcPr>
          <w:p w14:paraId="4D80D68D" w14:textId="77777777" w:rsidR="00EF2593" w:rsidRDefault="00EF2593" w:rsidP="004E39FD">
            <w:pPr>
              <w:pStyle w:val="Tabletext"/>
            </w:pPr>
          </w:p>
          <w:p w14:paraId="24AFA266" w14:textId="77777777" w:rsidR="004E39FD" w:rsidRDefault="004E39FD" w:rsidP="004E39FD">
            <w:pPr>
              <w:pStyle w:val="Tabletext"/>
            </w:pPr>
          </w:p>
          <w:p w14:paraId="75B4C8BA" w14:textId="77777777" w:rsidR="004E39FD" w:rsidRDefault="004E39FD" w:rsidP="004E39FD">
            <w:pPr>
              <w:pStyle w:val="Tabletext"/>
            </w:pPr>
          </w:p>
          <w:p w14:paraId="21AE7723" w14:textId="77777777" w:rsidR="004E39FD" w:rsidRDefault="004E39FD" w:rsidP="004E39FD">
            <w:pPr>
              <w:pStyle w:val="Tabletext"/>
            </w:pPr>
          </w:p>
          <w:p w14:paraId="243318C6" w14:textId="77777777" w:rsidR="004E39FD" w:rsidRDefault="004E39FD" w:rsidP="004E39FD">
            <w:pPr>
              <w:pStyle w:val="Tabletext"/>
            </w:pPr>
          </w:p>
          <w:p w14:paraId="55CBE4C3" w14:textId="77777777" w:rsidR="004E39FD" w:rsidRDefault="004E39FD" w:rsidP="004E39FD">
            <w:pPr>
              <w:pStyle w:val="Tabletext"/>
            </w:pPr>
          </w:p>
          <w:p w14:paraId="261E671F" w14:textId="77777777" w:rsidR="004E39FD" w:rsidRPr="00CC3EF0" w:rsidRDefault="004E39FD" w:rsidP="004E39FD">
            <w:pPr>
              <w:pStyle w:val="Tabletext"/>
            </w:pPr>
          </w:p>
        </w:tc>
      </w:tr>
      <w:tr w:rsidR="00EF2593" w:rsidRPr="00CC3EF0" w14:paraId="084AFB7E" w14:textId="77777777" w:rsidTr="00E458BD">
        <w:trPr>
          <w:cnfStyle w:val="000000100000" w:firstRow="0" w:lastRow="0" w:firstColumn="0" w:lastColumn="0" w:oddVBand="0" w:evenVBand="0" w:oddHBand="1" w:evenHBand="0" w:firstRowFirstColumn="0" w:firstRowLastColumn="0" w:lastRowFirstColumn="0" w:lastRowLastColumn="0"/>
        </w:trPr>
        <w:tc>
          <w:tcPr>
            <w:tcW w:w="3686" w:type="dxa"/>
            <w:tcBorders>
              <w:bottom w:val="nil"/>
            </w:tcBorders>
          </w:tcPr>
          <w:p w14:paraId="3F63F952"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Do you agree with our proposal to ‘add back’ activated ERS into nodal load schedules to maintain scarcity pricing?</w:t>
            </w:r>
          </w:p>
        </w:tc>
        <w:tc>
          <w:tcPr>
            <w:tcW w:w="5670" w:type="dxa"/>
            <w:tcBorders>
              <w:bottom w:val="nil"/>
            </w:tcBorders>
          </w:tcPr>
          <w:p w14:paraId="79608E96" w14:textId="77777777" w:rsidR="00EF2593" w:rsidRPr="00CC3EF0" w:rsidRDefault="00EF2593" w:rsidP="004E39FD">
            <w:pPr>
              <w:pStyle w:val="Tabletext"/>
            </w:pPr>
          </w:p>
        </w:tc>
      </w:tr>
      <w:tr w:rsidR="00EF2593" w:rsidRPr="00CC3EF0" w14:paraId="1A08F5B2" w14:textId="77777777" w:rsidTr="00E458BD">
        <w:trPr>
          <w:cnfStyle w:val="000000010000" w:firstRow="0" w:lastRow="0" w:firstColumn="0" w:lastColumn="0" w:oddVBand="0" w:evenVBand="0" w:oddHBand="0" w:evenHBand="1" w:firstRowFirstColumn="0" w:firstRowLastColumn="0" w:lastRowFirstColumn="0" w:lastRowLastColumn="0"/>
        </w:trPr>
        <w:tc>
          <w:tcPr>
            <w:tcW w:w="3686" w:type="dxa"/>
            <w:tcBorders>
              <w:top w:val="nil"/>
            </w:tcBorders>
          </w:tcPr>
          <w:p w14:paraId="3F9ED2EF"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 xml:space="preserve">Do you agree with our proposed settings for cost </w:t>
            </w:r>
            <w:r w:rsidRPr="008132DB">
              <w:rPr>
                <w:rFonts w:asciiTheme="minorBidi" w:hAnsiTheme="minorBidi"/>
              </w:rPr>
              <w:lastRenderedPageBreak/>
              <w:t xml:space="preserve">allocation and settlement of ERS costs? Do you consider an alternative cost recovery approach would be preferable and if </w:t>
            </w:r>
            <w:proofErr w:type="gramStart"/>
            <w:r w:rsidRPr="008132DB">
              <w:rPr>
                <w:rFonts w:asciiTheme="minorBidi" w:hAnsiTheme="minorBidi"/>
              </w:rPr>
              <w:t>so</w:t>
            </w:r>
            <w:proofErr w:type="gramEnd"/>
            <w:r w:rsidRPr="008132DB">
              <w:rPr>
                <w:rFonts w:asciiTheme="minorBidi" w:hAnsiTheme="minorBidi"/>
              </w:rPr>
              <w:t xml:space="preserve"> why?</w:t>
            </w:r>
          </w:p>
        </w:tc>
        <w:tc>
          <w:tcPr>
            <w:tcW w:w="5670" w:type="dxa"/>
            <w:tcBorders>
              <w:top w:val="nil"/>
            </w:tcBorders>
          </w:tcPr>
          <w:p w14:paraId="4B0F0393" w14:textId="77777777" w:rsidR="00EF2593" w:rsidRPr="00CC3EF0" w:rsidRDefault="00EF2593" w:rsidP="004E39FD">
            <w:pPr>
              <w:pStyle w:val="Tabletext"/>
            </w:pPr>
          </w:p>
        </w:tc>
      </w:tr>
      <w:tr w:rsidR="00EF2593" w:rsidRPr="00CC3EF0" w14:paraId="6D41DDEA"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64C67897"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Do you agree with our proposed settings to manage non-performance by ERS providers?</w:t>
            </w:r>
          </w:p>
        </w:tc>
        <w:tc>
          <w:tcPr>
            <w:tcW w:w="5670" w:type="dxa"/>
          </w:tcPr>
          <w:p w14:paraId="2D0D2B46" w14:textId="77777777" w:rsidR="00EF2593" w:rsidRPr="00CC3EF0" w:rsidRDefault="00EF2593" w:rsidP="004E39FD">
            <w:pPr>
              <w:pStyle w:val="Tabletext"/>
            </w:pPr>
          </w:p>
        </w:tc>
      </w:tr>
      <w:tr w:rsidR="00EF2593" w:rsidRPr="00CC3EF0" w14:paraId="07DD00EC"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12EB50C6"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Do you agree with our proposed information and publication settings to enable the effective operation and monitoring of the ERS? Is there additional information you consider should be made available to potential providers, the Authority, other industry participants or the public?</w:t>
            </w:r>
          </w:p>
        </w:tc>
        <w:tc>
          <w:tcPr>
            <w:tcW w:w="5670" w:type="dxa"/>
          </w:tcPr>
          <w:p w14:paraId="68866BA8" w14:textId="77777777" w:rsidR="00EF2593" w:rsidRPr="00CC3EF0" w:rsidRDefault="00EF2593" w:rsidP="004E39FD">
            <w:pPr>
              <w:pStyle w:val="Tabletext"/>
            </w:pPr>
          </w:p>
        </w:tc>
      </w:tr>
      <w:tr w:rsidR="00EF2593" w:rsidRPr="00CC3EF0" w14:paraId="227E0A28"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44791EFF"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Are there other scheme design elements that the Authority should consider?</w:t>
            </w:r>
          </w:p>
        </w:tc>
        <w:tc>
          <w:tcPr>
            <w:tcW w:w="5670" w:type="dxa"/>
          </w:tcPr>
          <w:p w14:paraId="75A6FE7D" w14:textId="77777777" w:rsidR="00EF2593" w:rsidRPr="00CC3EF0" w:rsidRDefault="00EF2593" w:rsidP="004E39FD">
            <w:pPr>
              <w:pStyle w:val="Tabletext"/>
            </w:pPr>
          </w:p>
        </w:tc>
      </w:tr>
      <w:tr w:rsidR="00EF2593" w:rsidRPr="00CC3EF0" w14:paraId="0A8F0CAD"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5858670A" w14:textId="77777777" w:rsidR="00EF2593" w:rsidRPr="008132DB" w:rsidRDefault="00EF2593" w:rsidP="00EF2593">
            <w:pPr>
              <w:pStyle w:val="ListParagraph"/>
              <w:numPr>
                <w:ilvl w:val="0"/>
                <w:numId w:val="3"/>
              </w:numPr>
              <w:ind w:left="606" w:hanging="606"/>
              <w:rPr>
                <w:rFonts w:asciiTheme="minorBidi" w:hAnsiTheme="minorBidi"/>
              </w:rPr>
            </w:pPr>
            <w:r w:rsidRPr="008132DB">
              <w:rPr>
                <w:rFonts w:asciiTheme="minorBidi" w:hAnsiTheme="minorBidi"/>
              </w:rPr>
              <w:t>Do you agree with our high-level evaluation of the proposed ERS against our guiding principles?</w:t>
            </w:r>
          </w:p>
        </w:tc>
        <w:tc>
          <w:tcPr>
            <w:tcW w:w="5670" w:type="dxa"/>
          </w:tcPr>
          <w:p w14:paraId="4D5EAAA8" w14:textId="77777777" w:rsidR="00EF2593" w:rsidRDefault="00EF2593" w:rsidP="004E39FD">
            <w:pPr>
              <w:pStyle w:val="Tabletext"/>
            </w:pPr>
          </w:p>
          <w:p w14:paraId="18754521" w14:textId="77777777" w:rsidR="004E39FD" w:rsidRDefault="004E39FD" w:rsidP="004E39FD">
            <w:pPr>
              <w:pStyle w:val="Tabletext"/>
            </w:pPr>
          </w:p>
          <w:p w14:paraId="5275C18D" w14:textId="77777777" w:rsidR="004E39FD" w:rsidRPr="00CC3EF0" w:rsidRDefault="004E39FD" w:rsidP="004E39FD">
            <w:pPr>
              <w:pStyle w:val="Tabletext"/>
            </w:pPr>
          </w:p>
        </w:tc>
      </w:tr>
      <w:tr w:rsidR="00EF2593" w:rsidRPr="00CC3EF0" w14:paraId="75A59517"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2CE60325"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Is there any additional information the Authority should consider in evaluating a proposed ERS design?</w:t>
            </w:r>
          </w:p>
        </w:tc>
        <w:tc>
          <w:tcPr>
            <w:tcW w:w="5670" w:type="dxa"/>
          </w:tcPr>
          <w:p w14:paraId="0F13620F" w14:textId="77777777" w:rsidR="00EF2593" w:rsidRPr="00CC3EF0" w:rsidRDefault="00EF2593" w:rsidP="004E39FD">
            <w:pPr>
              <w:pStyle w:val="Tabletext"/>
            </w:pPr>
          </w:p>
        </w:tc>
      </w:tr>
      <w:tr w:rsidR="00EF2593" w:rsidRPr="00CC3EF0" w14:paraId="235A2A47"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6C5583AC" w14:textId="77777777" w:rsidR="00EF2593" w:rsidRPr="008132DB" w:rsidRDefault="00EF2593" w:rsidP="00EF2593">
            <w:pPr>
              <w:pStyle w:val="ListParagraph"/>
              <w:numPr>
                <w:ilvl w:val="0"/>
                <w:numId w:val="3"/>
              </w:numPr>
              <w:ind w:left="606" w:hanging="567"/>
              <w:rPr>
                <w:rFonts w:asciiTheme="minorBidi" w:hAnsiTheme="minorBidi"/>
              </w:rPr>
            </w:pPr>
            <w:r w:rsidRPr="008132DB">
              <w:rPr>
                <w:rFonts w:asciiTheme="minorBidi" w:hAnsiTheme="minorBidi"/>
              </w:rPr>
              <w:t xml:space="preserve">Do you think there are any elements of the proposed scheme design which require more time for implementation and should be delayed beyond Winter 2026? If so, please identify the relevant elements and indicate when </w:t>
            </w:r>
            <w:r w:rsidRPr="008132DB">
              <w:rPr>
                <w:rFonts w:asciiTheme="minorBidi" w:hAnsiTheme="minorBidi"/>
              </w:rPr>
              <w:lastRenderedPageBreak/>
              <w:t>you consider they could be implemented.</w:t>
            </w:r>
          </w:p>
        </w:tc>
        <w:tc>
          <w:tcPr>
            <w:tcW w:w="5670" w:type="dxa"/>
          </w:tcPr>
          <w:p w14:paraId="27A9421D" w14:textId="77777777" w:rsidR="00EF2593" w:rsidRPr="00CC3EF0" w:rsidRDefault="00EF2593" w:rsidP="004E39FD">
            <w:pPr>
              <w:pStyle w:val="Tabletext"/>
            </w:pPr>
          </w:p>
        </w:tc>
      </w:tr>
      <w:tr w:rsidR="00EF2593" w:rsidRPr="00CC3EF0" w14:paraId="306253CD"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5514B42B"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 xml:space="preserve">Do you agree with the Authority’s proposal to set </w:t>
            </w:r>
            <w:proofErr w:type="spellStart"/>
            <w:r w:rsidRPr="008132DB">
              <w:rPr>
                <w:rFonts w:asciiTheme="minorBidi" w:hAnsiTheme="minorBidi"/>
              </w:rPr>
              <w:t>VoLL</w:t>
            </w:r>
            <w:proofErr w:type="spellEnd"/>
            <w:r w:rsidRPr="008132DB">
              <w:rPr>
                <w:rFonts w:asciiTheme="minorBidi" w:hAnsiTheme="minorBidi"/>
              </w:rPr>
              <w:t xml:space="preserve"> at $35,305 per MWh for the purposes of the ERS, and proposal to review </w:t>
            </w:r>
            <w:proofErr w:type="spellStart"/>
            <w:r w:rsidRPr="008132DB">
              <w:rPr>
                <w:rFonts w:asciiTheme="minorBidi" w:hAnsiTheme="minorBidi"/>
              </w:rPr>
              <w:t>VoLL</w:t>
            </w:r>
            <w:proofErr w:type="spellEnd"/>
            <w:r w:rsidRPr="008132DB">
              <w:rPr>
                <w:rFonts w:asciiTheme="minorBidi" w:hAnsiTheme="minorBidi"/>
              </w:rPr>
              <w:t xml:space="preserve"> and security standards more broadly?</w:t>
            </w:r>
          </w:p>
        </w:tc>
        <w:tc>
          <w:tcPr>
            <w:tcW w:w="5670" w:type="dxa"/>
          </w:tcPr>
          <w:p w14:paraId="1650AF50" w14:textId="77777777" w:rsidR="00EF2593" w:rsidRPr="00CC3EF0" w:rsidRDefault="00EF2593" w:rsidP="004E39FD">
            <w:pPr>
              <w:pStyle w:val="Tabletext"/>
            </w:pPr>
          </w:p>
        </w:tc>
      </w:tr>
      <w:tr w:rsidR="00EF2593" w:rsidRPr="00CC3EF0" w14:paraId="7B4A594B"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47359ABE" w14:textId="77777777" w:rsidR="00EF2593" w:rsidRPr="008132DB" w:rsidRDefault="00EF2593" w:rsidP="00EF2593">
            <w:pPr>
              <w:pStyle w:val="ListParagraph"/>
              <w:numPr>
                <w:ilvl w:val="0"/>
                <w:numId w:val="3"/>
              </w:numPr>
              <w:ind w:left="595" w:hanging="595"/>
              <w:rPr>
                <w:rFonts w:asciiTheme="minorBidi" w:hAnsiTheme="minorBidi"/>
              </w:rPr>
            </w:pPr>
            <w:r w:rsidRPr="008132DB">
              <w:rPr>
                <w:rFonts w:asciiTheme="minorBidi" w:hAnsiTheme="minorBidi"/>
              </w:rPr>
              <w:t>Are you likely to be interested in participating in an ERS, such as the scheme outlined in this paper?</w:t>
            </w:r>
          </w:p>
        </w:tc>
        <w:tc>
          <w:tcPr>
            <w:tcW w:w="5670" w:type="dxa"/>
          </w:tcPr>
          <w:p w14:paraId="6E7E387F" w14:textId="77777777" w:rsidR="00EF2593" w:rsidRPr="00CC3EF0" w:rsidRDefault="00EF2593" w:rsidP="004E39FD">
            <w:pPr>
              <w:pStyle w:val="Tabletext"/>
            </w:pPr>
          </w:p>
        </w:tc>
      </w:tr>
      <w:tr w:rsidR="00EF2593" w:rsidRPr="00CC3EF0" w14:paraId="0DDDEC14" w14:textId="77777777" w:rsidTr="008132DB">
        <w:trPr>
          <w:cnfStyle w:val="000000100000" w:firstRow="0" w:lastRow="0" w:firstColumn="0" w:lastColumn="0" w:oddVBand="0" w:evenVBand="0" w:oddHBand="1" w:evenHBand="0" w:firstRowFirstColumn="0" w:firstRowLastColumn="0" w:lastRowFirstColumn="0" w:lastRowLastColumn="0"/>
        </w:trPr>
        <w:tc>
          <w:tcPr>
            <w:tcW w:w="3686" w:type="dxa"/>
          </w:tcPr>
          <w:p w14:paraId="6E508782"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Are there any other implementation considerations or related issues the Authority should consider in relation to an ERS?</w:t>
            </w:r>
          </w:p>
        </w:tc>
        <w:tc>
          <w:tcPr>
            <w:tcW w:w="5670" w:type="dxa"/>
          </w:tcPr>
          <w:p w14:paraId="226B6A68" w14:textId="77777777" w:rsidR="00EF2593" w:rsidRPr="00CC3EF0" w:rsidRDefault="00EF2593" w:rsidP="004E39FD">
            <w:pPr>
              <w:pStyle w:val="Tabletext"/>
            </w:pPr>
          </w:p>
        </w:tc>
      </w:tr>
      <w:tr w:rsidR="00EF2593" w:rsidRPr="00CC3EF0" w14:paraId="2644FCB4" w14:textId="77777777" w:rsidTr="008132DB">
        <w:trPr>
          <w:cnfStyle w:val="000000010000" w:firstRow="0" w:lastRow="0" w:firstColumn="0" w:lastColumn="0" w:oddVBand="0" w:evenVBand="0" w:oddHBand="0" w:evenHBand="1" w:firstRowFirstColumn="0" w:firstRowLastColumn="0" w:lastRowFirstColumn="0" w:lastRowLastColumn="0"/>
        </w:trPr>
        <w:tc>
          <w:tcPr>
            <w:tcW w:w="3686" w:type="dxa"/>
          </w:tcPr>
          <w:p w14:paraId="15B67C02" w14:textId="77777777" w:rsidR="00EF2593" w:rsidRPr="008132DB" w:rsidRDefault="00EF2593" w:rsidP="00EF2593">
            <w:pPr>
              <w:pStyle w:val="ListParagraph"/>
              <w:numPr>
                <w:ilvl w:val="0"/>
                <w:numId w:val="3"/>
              </w:numPr>
              <w:ind w:left="567" w:hanging="567"/>
              <w:rPr>
                <w:rFonts w:asciiTheme="minorBidi" w:hAnsiTheme="minorBidi"/>
              </w:rPr>
            </w:pPr>
            <w:r w:rsidRPr="008132DB">
              <w:rPr>
                <w:rFonts w:asciiTheme="minorBidi" w:hAnsiTheme="minorBidi"/>
              </w:rPr>
              <w:t>Are there other matters that the Authority should consider in relation to an ERS?</w:t>
            </w:r>
          </w:p>
        </w:tc>
        <w:tc>
          <w:tcPr>
            <w:tcW w:w="5670" w:type="dxa"/>
          </w:tcPr>
          <w:p w14:paraId="14C009CF" w14:textId="77777777" w:rsidR="00EF2593" w:rsidRPr="00CC3EF0" w:rsidRDefault="00EF2593" w:rsidP="004E39FD">
            <w:pPr>
              <w:pStyle w:val="Tabletext"/>
            </w:pPr>
          </w:p>
        </w:tc>
      </w:tr>
    </w:tbl>
    <w:p w14:paraId="3F9F4933" w14:textId="208DBBED" w:rsidR="00EF2593" w:rsidRPr="00CC3EF0" w:rsidRDefault="00EF2593" w:rsidP="00EF2593">
      <w:pPr>
        <w:spacing w:line="259" w:lineRule="auto"/>
        <w:rPr>
          <w:lang w:eastAsia="en-NZ"/>
        </w:rPr>
      </w:pPr>
    </w:p>
    <w:p w14:paraId="2C078E63" w14:textId="77777777" w:rsidR="000551BC" w:rsidRDefault="000551BC"/>
    <w:sectPr w:rsidR="000551BC" w:rsidSect="008132DB">
      <w:headerReference w:type="default" r:id="rId10"/>
      <w:footerReference w:type="even" r:id="rId11"/>
      <w:footerReference w:type="default" r:id="rId12"/>
      <w:headerReference w:type="first" r:id="rId13"/>
      <w:footerReference w:type="first" r:id="rId14"/>
      <w:pgSz w:w="12240" w:h="15840"/>
      <w:pgMar w:top="1361" w:right="1361" w:bottom="136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F2707" w14:textId="77777777" w:rsidR="00803109" w:rsidRDefault="00803109" w:rsidP="00803109">
      <w:pPr>
        <w:spacing w:after="0" w:line="240" w:lineRule="auto"/>
      </w:pPr>
      <w:r>
        <w:separator/>
      </w:r>
    </w:p>
  </w:endnote>
  <w:endnote w:type="continuationSeparator" w:id="0">
    <w:p w14:paraId="53E6D7D4" w14:textId="77777777" w:rsidR="00803109" w:rsidRDefault="00803109" w:rsidP="0080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3C4B" w14:textId="022B620E" w:rsidR="00803109" w:rsidRDefault="00803109">
    <w:pPr>
      <w:pStyle w:val="Footer"/>
    </w:pPr>
    <w:r>
      <w:rPr>
        <w:noProof/>
      </w:rPr>
      <mc:AlternateContent>
        <mc:Choice Requires="wps">
          <w:drawing>
            <wp:anchor distT="0" distB="0" distL="0" distR="0" simplePos="0" relativeHeight="251657728" behindDoc="0" locked="0" layoutInCell="1" allowOverlap="1" wp14:anchorId="555D74B9" wp14:editId="184FA5C7">
              <wp:simplePos x="635" y="635"/>
              <wp:positionH relativeFrom="page">
                <wp:align>center</wp:align>
              </wp:positionH>
              <wp:positionV relativeFrom="page">
                <wp:align>bottom</wp:align>
              </wp:positionV>
              <wp:extent cx="1647825" cy="352425"/>
              <wp:effectExtent l="0" t="0" r="9525" b="0"/>
              <wp:wrapNone/>
              <wp:docPr id="493707280"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47825" cy="352425"/>
                      </a:xfrm>
                      <a:prstGeom prst="rect">
                        <a:avLst/>
                      </a:prstGeom>
                      <a:noFill/>
                      <a:ln>
                        <a:noFill/>
                      </a:ln>
                    </wps:spPr>
                    <wps:txbx>
                      <w:txbxContent>
                        <w:p w14:paraId="349A6B1C" w14:textId="230BD74F" w:rsidR="00803109" w:rsidRPr="00803109" w:rsidRDefault="00803109" w:rsidP="00803109">
                          <w:pPr>
                            <w:spacing w:after="0"/>
                            <w:rPr>
                              <w:rFonts w:ascii="Calibri" w:eastAsia="Calibri" w:hAnsi="Calibri" w:cs="Calibri"/>
                              <w:noProof/>
                              <w:color w:val="000000"/>
                              <w:sz w:val="20"/>
                              <w:szCs w:val="20"/>
                            </w:rPr>
                          </w:pPr>
                          <w:r w:rsidRPr="00803109">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5D74B9" id="_x0000_t202" coordsize="21600,21600" o:spt="202" path="m,l,21600r21600,l21600,xe">
              <v:stroke joinstyle="miter"/>
              <v:path gradientshapeok="t" o:connecttype="rect"/>
            </v:shapetype>
            <v:shape id="Text Box 2" o:spid="_x0000_s1026" type="#_x0000_t202" alt="IN-CONFIDENCE: ORGANISATION" style="position:absolute;margin-left:0;margin-top:0;width:129.75pt;height:27.7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0CCwIAABYEAAAOAAAAZHJzL2Uyb0RvYy54bWysU01v2zAMvQ/YfxB0X+xkTdcZcYqsRYYB&#10;QVsgHXpWZCk2IImCpMTOfv0o2U62rqdiF/mZpPjx+LS47bQiR+F8A6ak00lOiTAcqsbsS/rzef3p&#10;hhIfmKmYAiNKehKe3i4/fli0thAzqEFVwhFMYnzR2pLWIdgiyzyvhWZ+AlYYdEpwmgX8dfuscqzF&#10;7Fplszy/zlpwlXXAhfdove+ddJnySyl4eJTSi0BUSbG3kE6Xzl08s+WCFXvHbN3woQ32ji40awwW&#10;Pae6Z4GRg2v+SaUb7sCDDBMOOgMpGy7SDDjNNH81zbZmVqRZkBxvzzT5/5eWPxy39smR0H2DDhcY&#10;CWmtLzwa4zyddDp+sVOCfqTwdKZNdIHweOn66svNbE4JR9/n+ewKMabJLret8+G7AE0iKKnDtSS2&#10;2HHjQx86hsRiBtaNUmk1yvxlwJzRkl1ajCh0u27oewfVCcdx0G/aW75usOaG+fDEHK4WJ0C5hkc8&#10;pIK2pDAgSmpwv96yx3hkHL2UtCiVkhrUMiXqh8FNRFWNwI1gl8D0az7P0W8O+g5QgFN8C5YniFYX&#10;1AilA/2CQl7FQuhihmO5ku5GeBd6zeJD4GK1SkEoIMvCxmwtj6kjT5HE5+6FOTswHXBHDzDqiBWv&#10;CO9j401vV4eAtKdtRE57IgeqUXxpn8NDier+8z9FXZ7z8jcAAAD//wMAUEsDBBQABgAIAAAAIQBz&#10;Abr42wAAAAQBAAAPAAAAZHJzL2Rvd25yZXYueG1sTI/BTsMwDIbvSLxDZCRuLKVTEHRNJzSJ0xDS&#10;Ni7cssRrOxqnatKte3sMF3axZP2/Pn8ul5PvxAmH2AbS8DjLQCDZ4FqqNXzu3h6eQcRkyJkuEGq4&#10;YIRldXtTmsKFM23wtE21YAjFwmhoUuoLKaNt0Js4Cz0SZ4cweJN4HWrpBnNmuO9knmVP0puW+EJj&#10;elw1aL+3o9egNul9/KDd/GvKL8d1v7Lzw9pqfX83vS5AJJzSfxl+9VkdKnbah5FcFJ0GfiT9Tc5y&#10;9aJA7BmsFMiqlNfy1Q8AAAD//wMAUEsBAi0AFAAGAAgAAAAhALaDOJL+AAAA4QEAABMAAAAAAAAA&#10;AAAAAAAAAAAAAFtDb250ZW50X1R5cGVzXS54bWxQSwECLQAUAAYACAAAACEAOP0h/9YAAACUAQAA&#10;CwAAAAAAAAAAAAAAAAAvAQAAX3JlbHMvLnJlbHNQSwECLQAUAAYACAAAACEAURB9AgsCAAAWBAAA&#10;DgAAAAAAAAAAAAAAAAAuAgAAZHJzL2Uyb0RvYy54bWxQSwECLQAUAAYACAAAACEAcwG6+NsAAAAE&#10;AQAADwAAAAAAAAAAAAAAAABlBAAAZHJzL2Rvd25yZXYueG1sUEsFBgAAAAAEAAQA8wAAAG0FAAAA&#10;AA==&#10;" filled="f" stroked="f">
              <v:textbox style="mso-fit-shape-to-text:t" inset="0,0,0,15pt">
                <w:txbxContent>
                  <w:p w14:paraId="349A6B1C" w14:textId="230BD74F" w:rsidR="00803109" w:rsidRPr="00803109" w:rsidRDefault="00803109" w:rsidP="00803109">
                    <w:pPr>
                      <w:spacing w:after="0"/>
                      <w:rPr>
                        <w:rFonts w:ascii="Calibri" w:eastAsia="Calibri" w:hAnsi="Calibri" w:cs="Calibri"/>
                        <w:noProof/>
                        <w:color w:val="000000"/>
                        <w:sz w:val="20"/>
                        <w:szCs w:val="20"/>
                      </w:rPr>
                    </w:pPr>
                    <w:r w:rsidRPr="00803109">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6858255"/>
      <w:docPartObj>
        <w:docPartGallery w:val="Page Numbers (Bottom of Page)"/>
        <w:docPartUnique/>
      </w:docPartObj>
    </w:sdtPr>
    <w:sdtEndPr>
      <w:rPr>
        <w:noProof/>
      </w:rPr>
    </w:sdtEndPr>
    <w:sdtContent>
      <w:p w14:paraId="6D24B3A5" w14:textId="03A02621" w:rsidR="00AB36CD" w:rsidRPr="00E458BD" w:rsidRDefault="00EF2593">
        <w:pPr>
          <w:pStyle w:val="Footer"/>
          <w:rPr>
            <w:color w:val="156082" w:themeColor="accent1"/>
            <w:sz w:val="18"/>
            <w:szCs w:val="18"/>
          </w:rPr>
        </w:pPr>
        <w:r w:rsidRPr="00EF2593">
          <w:rPr>
            <w:color w:val="156082" w:themeColor="accent1"/>
            <w:sz w:val="18"/>
            <w:szCs w:val="18"/>
          </w:rPr>
          <w:t>Appendix A: Format for submissions</w:t>
        </w:r>
        <w:r w:rsidR="00E458BD">
          <w:rPr>
            <w:color w:val="156082" w:themeColor="accent1"/>
            <w:sz w:val="18"/>
            <w:szCs w:val="18"/>
          </w:rPr>
          <w:t xml:space="preserve">, Establishing and Emergency Response </w:t>
        </w:r>
        <w:proofErr w:type="spellStart"/>
        <w:r w:rsidR="00E458BD">
          <w:rPr>
            <w:color w:val="156082" w:themeColor="accent1"/>
            <w:sz w:val="18"/>
            <w:szCs w:val="18"/>
          </w:rPr>
          <w:t>Sceme</w:t>
        </w:r>
        <w:proofErr w:type="spellEnd"/>
      </w:p>
      <w:p w14:paraId="0E240122" w14:textId="5C96EEEB" w:rsidR="00EF2593" w:rsidRPr="00EF2593" w:rsidRDefault="00EF2593">
        <w:pPr>
          <w:pStyle w:val="Footer"/>
          <w:jc w:val="right"/>
          <w:rPr>
            <w:sz w:val="18"/>
            <w:szCs w:val="18"/>
          </w:rPr>
        </w:pPr>
        <w:r w:rsidRPr="00EF2593">
          <w:rPr>
            <w:sz w:val="18"/>
            <w:szCs w:val="18"/>
          </w:rPr>
          <w:fldChar w:fldCharType="begin"/>
        </w:r>
        <w:r w:rsidRPr="00EF2593">
          <w:rPr>
            <w:sz w:val="18"/>
            <w:szCs w:val="18"/>
          </w:rPr>
          <w:instrText xml:space="preserve"> PAGE   \* MERGEFORMAT </w:instrText>
        </w:r>
        <w:r w:rsidRPr="00EF2593">
          <w:rPr>
            <w:sz w:val="18"/>
            <w:szCs w:val="18"/>
          </w:rPr>
          <w:fldChar w:fldCharType="separate"/>
        </w:r>
        <w:r w:rsidRPr="00EF2593">
          <w:rPr>
            <w:noProof/>
            <w:sz w:val="18"/>
            <w:szCs w:val="18"/>
          </w:rPr>
          <w:t>2</w:t>
        </w:r>
        <w:r w:rsidRPr="00EF2593">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183C" w14:textId="29DF98B3" w:rsidR="00803109" w:rsidRDefault="00803109">
    <w:pPr>
      <w:pStyle w:val="Footer"/>
    </w:pPr>
    <w:r>
      <w:rPr>
        <w:noProof/>
      </w:rPr>
      <mc:AlternateContent>
        <mc:Choice Requires="wps">
          <w:drawing>
            <wp:anchor distT="0" distB="0" distL="0" distR="0" simplePos="0" relativeHeight="251654656" behindDoc="0" locked="0" layoutInCell="1" allowOverlap="1" wp14:anchorId="01F1E4B8" wp14:editId="68E85526">
              <wp:simplePos x="635" y="635"/>
              <wp:positionH relativeFrom="page">
                <wp:align>center</wp:align>
              </wp:positionH>
              <wp:positionV relativeFrom="page">
                <wp:align>bottom</wp:align>
              </wp:positionV>
              <wp:extent cx="1647825" cy="352425"/>
              <wp:effectExtent l="0" t="0" r="9525" b="0"/>
              <wp:wrapNone/>
              <wp:docPr id="1157207873"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47825" cy="352425"/>
                      </a:xfrm>
                      <a:prstGeom prst="rect">
                        <a:avLst/>
                      </a:prstGeom>
                      <a:noFill/>
                      <a:ln>
                        <a:noFill/>
                      </a:ln>
                    </wps:spPr>
                    <wps:txbx>
                      <w:txbxContent>
                        <w:p w14:paraId="5F159A88" w14:textId="5AD6437F" w:rsidR="00803109" w:rsidRPr="00803109" w:rsidRDefault="00803109" w:rsidP="00803109">
                          <w:pPr>
                            <w:spacing w:after="0"/>
                            <w:rPr>
                              <w:rFonts w:ascii="Calibri" w:eastAsia="Calibri" w:hAnsi="Calibri" w:cs="Calibri"/>
                              <w:noProof/>
                              <w:color w:val="000000"/>
                              <w:sz w:val="20"/>
                              <w:szCs w:val="20"/>
                            </w:rPr>
                          </w:pPr>
                          <w:r w:rsidRPr="00803109">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1E4B8" id="_x0000_t202" coordsize="21600,21600" o:spt="202" path="m,l,21600r21600,l21600,xe">
              <v:stroke joinstyle="miter"/>
              <v:path gradientshapeok="t" o:connecttype="rect"/>
            </v:shapetype>
            <v:shape id="Text Box 1" o:spid="_x0000_s1027" type="#_x0000_t202" alt="IN-CONFIDENCE: ORGANISATION" style="position:absolute;margin-left:0;margin-top:0;width:129.75pt;height:27.75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VNDQIAAB0EAAAOAAAAZHJzL2Uyb0RvYy54bWysU01v2zAMvQ/YfxB0X+xkTdcZcYqsRYYB&#10;QVsgHXqWZSk2IImCpMTOfv0oOU7abqdhF/mZpPjx+LS47bUiB+F8C6ak00lOiTAc6tbsSvrzef3p&#10;hhIfmKmZAiNKehSe3i4/flh0thAzaEDVwhFMYnzR2ZI2IdgiyzxvhGZ+AlYYdEpwmgX8dbusdqzD&#10;7Fplszy/zjpwtXXAhfdovR+cdJnySyl4eJTSi0BUSbG3kE6Xziqe2XLBip1jtmn5qQ32D11o1hos&#10;ek51zwIje9f+kUq33IEHGSYcdAZStlykGXCaaf5umm3DrEizIDnenmny/y8tfzhs7ZMjof8GPS4w&#10;EtJZX3g0xnl66XT8YqcE/Ujh8Uyb6APh8dL11Zeb2ZwSjr7P89kVYkyTXW5b58N3AZpEUFKHa0ls&#10;scPGhyF0DInFDKxbpdJqlHljwJzRkl1ajCj0VU/a+lX7FdRHnMrBsHBv+brF0hvmwxNzuGEcBFUb&#10;HvGQCrqSwglR0oD79Td7jEfi0UtJh4opqUFJU6J+GFxIFNcI3AiqBKZf83mOfrPXd4A6nOKTsDxB&#10;tLqgRigd6BfU8yoWQhczHMuVtBrhXRiki++Bi9UqBaGOLAsbs7U8po50RS6f+xfm7InwgKt6gFFO&#10;rHjH+xAbb3q72gdkPy0lUjsQeWIcNZjWenovUeSv/1PU5VUvfwMAAP//AwBQSwMEFAAGAAgAAAAh&#10;AHMBuvjbAAAABAEAAA8AAABkcnMvZG93bnJldi54bWxMj8FOwzAMhu9IvENkJG4spVMQdE0nNInT&#10;ENI2LtyyxGs7Gqdq0q17ewwXdrFk/b8+fy6Xk+/ECYfYBtLwOMtAINngWqo1fO7eHp5BxGTImS4Q&#10;arhghGV1e1OawoUzbfC0TbVgCMXCaGhS6gspo23QmzgLPRJnhzB4k3gdaukGc2a472SeZU/Sm5b4&#10;QmN6XDVov7ej16A26X38oN38a8ovx3W/svPD2mp9fze9LkAknNJ/GX71WR0qdtqHkVwUnQZ+JP1N&#10;znL1okDsGawUyKqU1/LVDwAAAP//AwBQSwECLQAUAAYACAAAACEAtoM4kv4AAADhAQAAEwAAAAAA&#10;AAAAAAAAAAAAAAAAW0NvbnRlbnRfVHlwZXNdLnhtbFBLAQItABQABgAIAAAAIQA4/SH/1gAAAJQB&#10;AAALAAAAAAAAAAAAAAAAAC8BAABfcmVscy8ucmVsc1BLAQItABQABgAIAAAAIQDClmVNDQIAAB0E&#10;AAAOAAAAAAAAAAAAAAAAAC4CAABkcnMvZTJvRG9jLnhtbFBLAQItABQABgAIAAAAIQBzAbr42wAA&#10;AAQBAAAPAAAAAAAAAAAAAAAAAGcEAABkcnMvZG93bnJldi54bWxQSwUGAAAAAAQABADzAAAAbwUA&#10;AAAA&#10;" filled="f" stroked="f">
              <v:textbox style="mso-fit-shape-to-text:t" inset="0,0,0,15pt">
                <w:txbxContent>
                  <w:p w14:paraId="5F159A88" w14:textId="5AD6437F" w:rsidR="00803109" w:rsidRPr="00803109" w:rsidRDefault="00803109" w:rsidP="00803109">
                    <w:pPr>
                      <w:spacing w:after="0"/>
                      <w:rPr>
                        <w:rFonts w:ascii="Calibri" w:eastAsia="Calibri" w:hAnsi="Calibri" w:cs="Calibri"/>
                        <w:noProof/>
                        <w:color w:val="000000"/>
                        <w:sz w:val="20"/>
                        <w:szCs w:val="20"/>
                      </w:rPr>
                    </w:pPr>
                    <w:r w:rsidRPr="00803109">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4E92D" w14:textId="77777777" w:rsidR="00803109" w:rsidRDefault="00803109" w:rsidP="00803109">
      <w:pPr>
        <w:spacing w:after="0" w:line="240" w:lineRule="auto"/>
      </w:pPr>
      <w:r>
        <w:separator/>
      </w:r>
    </w:p>
  </w:footnote>
  <w:footnote w:type="continuationSeparator" w:id="0">
    <w:p w14:paraId="18F31A78" w14:textId="77777777" w:rsidR="00803109" w:rsidRDefault="00803109" w:rsidP="0080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74D6" w14:textId="7417A2D0" w:rsidR="008132DB" w:rsidRDefault="008132DB">
    <w:pPr>
      <w:pStyle w:val="Header"/>
    </w:pPr>
    <w:r>
      <w:rPr>
        <w:noProof/>
      </w:rPr>
      <w:drawing>
        <wp:anchor distT="0" distB="0" distL="114300" distR="114300" simplePos="0" relativeHeight="251660800" behindDoc="0" locked="0" layoutInCell="1" allowOverlap="1" wp14:anchorId="263CB011" wp14:editId="19BE036C">
          <wp:simplePos x="0" y="0"/>
          <wp:positionH relativeFrom="column">
            <wp:posOffset>4441990</wp:posOffset>
          </wp:positionH>
          <wp:positionV relativeFrom="paragraph">
            <wp:posOffset>-379457</wp:posOffset>
          </wp:positionV>
          <wp:extent cx="1737510" cy="835915"/>
          <wp:effectExtent l="0" t="0" r="0" b="2540"/>
          <wp:wrapSquare wrapText="bothSides"/>
          <wp:docPr id="146549584"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9584" name="Picture 1"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510" cy="835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16B7" w14:textId="03D5B60F" w:rsidR="008132DB" w:rsidRDefault="008132DB">
    <w:pPr>
      <w:pStyle w:val="Header"/>
    </w:pPr>
    <w:r>
      <w:rPr>
        <w:noProof/>
      </w:rPr>
      <w:drawing>
        <wp:anchor distT="0" distB="0" distL="114300" distR="114300" simplePos="0" relativeHeight="251662848" behindDoc="0" locked="0" layoutInCell="1" allowOverlap="1" wp14:anchorId="277C482C" wp14:editId="439298AC">
          <wp:simplePos x="0" y="0"/>
          <wp:positionH relativeFrom="column">
            <wp:posOffset>4450658</wp:posOffset>
          </wp:positionH>
          <wp:positionV relativeFrom="paragraph">
            <wp:posOffset>-370789</wp:posOffset>
          </wp:positionV>
          <wp:extent cx="1720176" cy="827575"/>
          <wp:effectExtent l="0" t="0" r="0" b="0"/>
          <wp:wrapSquare wrapText="bothSides"/>
          <wp:docPr id="1966140822"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40822" name="Picture 2"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176" cy="827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80F62"/>
    <w:multiLevelType w:val="multilevel"/>
    <w:tmpl w:val="9D38EAF8"/>
    <w:lvl w:ilvl="0">
      <w:start w:val="1"/>
      <w:numFmt w:val="upperLetter"/>
      <w:pStyle w:val="AppendixHeading"/>
      <w:lvlText w:val="Appendix %1"/>
      <w:lvlJc w:val="left"/>
      <w:pPr>
        <w:ind w:left="5410" w:hanging="2268"/>
      </w:pPr>
      <w:rPr>
        <w:rFonts w:hint="default"/>
      </w:rPr>
    </w:lvl>
    <w:lvl w:ilvl="1">
      <w:start w:val="1"/>
      <w:numFmt w:val="decimal"/>
      <w:pStyle w:val="AppendixParagraph"/>
      <w:lvlText w:val="%1.%2."/>
      <w:lvlJc w:val="left"/>
      <w:pPr>
        <w:ind w:left="3254" w:hanging="680"/>
      </w:pPr>
      <w:rPr>
        <w:rFonts w:hint="default"/>
      </w:rPr>
    </w:lvl>
    <w:lvl w:ilvl="2">
      <w:start w:val="1"/>
      <w:numFmt w:val="lowerLetter"/>
      <w:lvlText w:val="%3."/>
      <w:lvlJc w:val="left"/>
      <w:pPr>
        <w:ind w:left="3935" w:hanging="681"/>
      </w:pPr>
      <w:rPr>
        <w:rFonts w:hint="default"/>
      </w:rPr>
    </w:lvl>
    <w:lvl w:ilvl="3">
      <w:start w:val="1"/>
      <w:numFmt w:val="lowerRoman"/>
      <w:lvlText w:val="%4."/>
      <w:lvlJc w:val="left"/>
      <w:pPr>
        <w:ind w:left="4615" w:hanging="680"/>
      </w:pPr>
      <w:rPr>
        <w:rFonts w:hint="default"/>
      </w:rPr>
    </w:lvl>
    <w:lvl w:ilvl="4">
      <w:start w:val="1"/>
      <w:numFmt w:val="bullet"/>
      <w:lvlText w:val=""/>
      <w:lvlJc w:val="left"/>
      <w:pPr>
        <w:ind w:left="5296" w:hanging="681"/>
      </w:pPr>
      <w:rPr>
        <w:rFonts w:ascii="Wingdings" w:hAnsi="Wingdings" w:hint="default"/>
      </w:rPr>
    </w:lvl>
    <w:lvl w:ilvl="5">
      <w:start w:val="1"/>
      <w:numFmt w:val="decimal"/>
      <w:lvlText w:val="%1.%2.%3.%4.%5.%6."/>
      <w:lvlJc w:val="left"/>
      <w:pPr>
        <w:ind w:left="5310" w:hanging="936"/>
      </w:pPr>
      <w:rPr>
        <w:rFonts w:hint="default"/>
      </w:rPr>
    </w:lvl>
    <w:lvl w:ilvl="6">
      <w:start w:val="1"/>
      <w:numFmt w:val="decimal"/>
      <w:lvlText w:val="%1.%2.%3.%4.%5.%6.%7."/>
      <w:lvlJc w:val="left"/>
      <w:pPr>
        <w:ind w:left="5814" w:hanging="1080"/>
      </w:pPr>
      <w:rPr>
        <w:rFonts w:hint="default"/>
      </w:rPr>
    </w:lvl>
    <w:lvl w:ilvl="7">
      <w:start w:val="1"/>
      <w:numFmt w:val="decimal"/>
      <w:lvlText w:val="%1.%2.%3.%4.%5.%6.%7.%8."/>
      <w:lvlJc w:val="left"/>
      <w:pPr>
        <w:ind w:left="6318" w:hanging="1224"/>
      </w:pPr>
      <w:rPr>
        <w:rFonts w:hint="default"/>
      </w:rPr>
    </w:lvl>
    <w:lvl w:ilvl="8">
      <w:start w:val="1"/>
      <w:numFmt w:val="decimal"/>
      <w:lvlText w:val="%1.%2.%3.%4.%5.%6.%7.%8.%9."/>
      <w:lvlJc w:val="left"/>
      <w:pPr>
        <w:ind w:left="6894" w:hanging="1440"/>
      </w:pPr>
      <w:rPr>
        <w:rFonts w:hint="default"/>
      </w:rPr>
    </w:lvl>
  </w:abstractNum>
  <w:abstractNum w:abstractNumId="1" w15:restartNumberingAfterBreak="0">
    <w:nsid w:val="3B0151E9"/>
    <w:multiLevelType w:val="hybridMultilevel"/>
    <w:tmpl w:val="77FC7F70"/>
    <w:lvl w:ilvl="0" w:tplc="7FE61BF6">
      <w:start w:val="1"/>
      <w:numFmt w:val="decimal"/>
      <w:lvlText w:val="Q%1."/>
      <w:lvlJc w:val="left"/>
      <w:pPr>
        <w:ind w:left="50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649448F1"/>
    <w:multiLevelType w:val="hybridMultilevel"/>
    <w:tmpl w:val="AE765CC8"/>
    <w:lvl w:ilvl="0" w:tplc="4A3EA0BE">
      <w:start w:val="1"/>
      <w:numFmt w:val="bullet"/>
      <w:pStyle w:val="ListParagraph"/>
      <w:lvlText w:val=""/>
      <w:lvlJc w:val="left"/>
      <w:pPr>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64949912">
    <w:abstractNumId w:val="2"/>
  </w:num>
  <w:num w:numId="2" w16cid:durableId="45035744">
    <w:abstractNumId w:val="0"/>
  </w:num>
  <w:num w:numId="3" w16cid:durableId="83284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82E10B"/>
    <w:rsid w:val="0004132C"/>
    <w:rsid w:val="00047212"/>
    <w:rsid w:val="000551BC"/>
    <w:rsid w:val="000B46BF"/>
    <w:rsid w:val="0019429B"/>
    <w:rsid w:val="001E77EE"/>
    <w:rsid w:val="002848E5"/>
    <w:rsid w:val="004E39FD"/>
    <w:rsid w:val="0057335E"/>
    <w:rsid w:val="006714E3"/>
    <w:rsid w:val="00697BD1"/>
    <w:rsid w:val="006F7E89"/>
    <w:rsid w:val="00705135"/>
    <w:rsid w:val="00802C54"/>
    <w:rsid w:val="00803109"/>
    <w:rsid w:val="008132DB"/>
    <w:rsid w:val="00936FA3"/>
    <w:rsid w:val="00964530"/>
    <w:rsid w:val="00A0464F"/>
    <w:rsid w:val="00A536AA"/>
    <w:rsid w:val="00AB36CD"/>
    <w:rsid w:val="00BB1D8C"/>
    <w:rsid w:val="00C42043"/>
    <w:rsid w:val="00CC7B9C"/>
    <w:rsid w:val="00E458BD"/>
    <w:rsid w:val="00EF2593"/>
    <w:rsid w:val="00FE3E5E"/>
    <w:rsid w:val="0315AB87"/>
    <w:rsid w:val="0782E1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82E10B"/>
  <w15:chartTrackingRefBased/>
  <w15:docId w15:val="{F98B019A-D83F-412E-A43B-D5E8455D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3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09"/>
  </w:style>
  <w:style w:type="paragraph" w:styleId="Header">
    <w:name w:val="header"/>
    <w:basedOn w:val="Normal"/>
    <w:link w:val="HeaderChar"/>
    <w:uiPriority w:val="99"/>
    <w:unhideWhenUsed/>
    <w:rsid w:val="00671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4E3"/>
  </w:style>
  <w:style w:type="paragraph" w:styleId="ListParagraph">
    <w:name w:val="List Paragraph"/>
    <w:basedOn w:val="Normal"/>
    <w:uiPriority w:val="34"/>
    <w:qFormat/>
    <w:rsid w:val="00EF2593"/>
    <w:pPr>
      <w:numPr>
        <w:numId w:val="1"/>
      </w:numPr>
      <w:spacing w:before="120" w:after="120" w:line="276" w:lineRule="auto"/>
    </w:pPr>
    <w:rPr>
      <w:rFonts w:eastAsiaTheme="minorHAnsi"/>
      <w:sz w:val="22"/>
      <w:szCs w:val="22"/>
      <w:lang w:val="en-NZ" w:eastAsia="en-US"/>
    </w:rPr>
  </w:style>
  <w:style w:type="table" w:customStyle="1" w:styleId="EATable2">
    <w:name w:val="EA Table 2"/>
    <w:basedOn w:val="TableNormal"/>
    <w:uiPriority w:val="99"/>
    <w:rsid w:val="00EF2593"/>
    <w:pPr>
      <w:spacing w:after="0" w:line="240" w:lineRule="auto"/>
    </w:pPr>
    <w:rPr>
      <w:rFonts w:eastAsiaTheme="minorHAnsi"/>
      <w:sz w:val="22"/>
      <w:szCs w:val="22"/>
      <w:lang w:val="en-NZ" w:eastAsia="en-US"/>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156082" w:themeFill="accent1"/>
      </w:tcPr>
    </w:tblStylePr>
    <w:tblStylePr w:type="band1Horz">
      <w:tblPr/>
      <w:tcPr>
        <w:shd w:val="clear" w:color="auto" w:fill="F4F4F4"/>
      </w:tcPr>
    </w:tblStylePr>
    <w:tblStylePr w:type="band2Horz">
      <w:tblPr/>
      <w:tcPr>
        <w:shd w:val="clear" w:color="auto" w:fill="D7E1EF"/>
      </w:tcPr>
    </w:tblStylePr>
  </w:style>
  <w:style w:type="paragraph" w:customStyle="1" w:styleId="AppendixHeading">
    <w:name w:val="Appendix Heading"/>
    <w:basedOn w:val="Normal"/>
    <w:next w:val="Normal"/>
    <w:uiPriority w:val="9"/>
    <w:qFormat/>
    <w:rsid w:val="00EF2593"/>
    <w:pPr>
      <w:keepNext/>
      <w:numPr>
        <w:numId w:val="2"/>
      </w:numPr>
      <w:spacing w:before="360" w:after="240" w:line="276" w:lineRule="auto"/>
      <w:ind w:left="2268"/>
      <w:outlineLvl w:val="0"/>
    </w:pPr>
    <w:rPr>
      <w:rFonts w:eastAsiaTheme="minorHAnsi"/>
      <w:b/>
      <w:color w:val="4EA72E" w:themeColor="accent6"/>
      <w:sz w:val="32"/>
      <w:szCs w:val="40"/>
      <w:lang w:val="en-NZ" w:eastAsia="en-US"/>
    </w:rPr>
  </w:style>
  <w:style w:type="paragraph" w:customStyle="1" w:styleId="AppendixParagraph">
    <w:name w:val="Appendix Paragraph"/>
    <w:uiPriority w:val="10"/>
    <w:qFormat/>
    <w:rsid w:val="00EF2593"/>
    <w:pPr>
      <w:numPr>
        <w:ilvl w:val="1"/>
        <w:numId w:val="2"/>
      </w:numPr>
      <w:tabs>
        <w:tab w:val="num" w:pos="360"/>
      </w:tabs>
      <w:spacing w:before="120" w:after="120" w:line="259" w:lineRule="auto"/>
    </w:pPr>
    <w:rPr>
      <w:rFonts w:eastAsiaTheme="minorHAnsi"/>
      <w:sz w:val="22"/>
      <w:szCs w:val="22"/>
      <w:lang w:val="en-NZ" w:eastAsia="en-US"/>
    </w:rPr>
  </w:style>
  <w:style w:type="paragraph" w:customStyle="1" w:styleId="Tabletext">
    <w:name w:val="Table text"/>
    <w:basedOn w:val="Normal"/>
    <w:link w:val="TabletextChar"/>
    <w:uiPriority w:val="3"/>
    <w:qFormat/>
    <w:rsid w:val="00EF2593"/>
    <w:pPr>
      <w:spacing w:before="120" w:after="120" w:line="276" w:lineRule="auto"/>
    </w:pPr>
    <w:rPr>
      <w:rFonts w:eastAsiaTheme="minorHAnsi"/>
      <w:sz w:val="20"/>
      <w:szCs w:val="20"/>
      <w:lang w:val="en-NZ" w:eastAsia="en-US"/>
    </w:rPr>
  </w:style>
  <w:style w:type="character" w:customStyle="1" w:styleId="TabletextChar">
    <w:name w:val="Table text Char"/>
    <w:basedOn w:val="DefaultParagraphFont"/>
    <w:link w:val="Tabletext"/>
    <w:uiPriority w:val="3"/>
    <w:rsid w:val="00EF2593"/>
    <w:rPr>
      <w:rFonts w:eastAsiaTheme="minorHAnsi"/>
      <w:sz w:val="20"/>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727D76EEB254781F951ADBAC48866" ma:contentTypeVersion="4" ma:contentTypeDescription="Create a new document." ma:contentTypeScope="" ma:versionID="63eaa107b1542e9b818a42ba3d8a1fa1">
  <xsd:schema xmlns:xsd="http://www.w3.org/2001/XMLSchema" xmlns:xs="http://www.w3.org/2001/XMLSchema" xmlns:p="http://schemas.microsoft.com/office/2006/metadata/properties" xmlns:ns2="067e0f98-17a4-47fb-8c76-0da61987f9c0" targetNamespace="http://schemas.microsoft.com/office/2006/metadata/properties" ma:root="true" ma:fieldsID="91617a33277e10f47f6be628cde7c489" ns2:_="">
    <xsd:import namespace="067e0f98-17a4-47fb-8c76-0da61987f9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e0f98-17a4-47fb-8c76-0da61987f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A0482-938E-4616-AFDD-6B4F1484A057}">
  <ds:schemaRefs>
    <ds:schemaRef ds:uri="http://schemas.microsoft.com/office/2006/documentManagement/types"/>
    <ds:schemaRef ds:uri="http://www.w3.org/XML/1998/namespace"/>
    <ds:schemaRef ds:uri="http://schemas.microsoft.com/office/2006/metadata/properties"/>
    <ds:schemaRef ds:uri="http://purl.org/dc/elements/1.1/"/>
    <ds:schemaRef ds:uri="067e0f98-17a4-47fb-8c76-0da61987f9c0"/>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D0B69D9-EFD0-4528-9C45-1A8300F80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e0f98-17a4-47fb-8c76-0da61987f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0A31D-4A52-4DC6-8443-250491FF7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Gonnelli</dc:creator>
  <cp:keywords/>
  <dc:description/>
  <cp:lastModifiedBy>Louise Pearson</cp:lastModifiedBy>
  <cp:revision>3</cp:revision>
  <dcterms:created xsi:type="dcterms:W3CDTF">2025-07-30T01:15:00Z</dcterms:created>
  <dcterms:modified xsi:type="dcterms:W3CDTF">2025-07-30T01:21:00Z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0x0101001BC727D76EEB254781F951ADBAC48866</vt:lpwstr>
  </property>
  <property fmtid="{D5CDD505-2E9C-101B-9397-08002B2CF9AE}" pid="3" name="ClassificationContentMarkingFooterShapeIds">
    <vt:lpwstr>44f99741,1d6d6010,597da2f3</vt:lpwstr>
  </property>
  <property fmtid="{D5CDD505-2E9C-101B-9397-08002B2CF9AE}" pid="4" name="ClassificationContentMarkingFooterFontProps">
    <vt:lpwstr>#000000,10,Calibri</vt:lpwstr>
  </property>
  <property fmtid="{D5CDD505-2E9C-101B-9397-08002B2CF9AE}" pid="5" name="ClassificationContentMarkingFooterText">
    <vt:lpwstr>IN-CONFIDENCE: ORGANISATION</vt:lpwstr>
  </property>
  <property fmtid="{D5CDD505-2E9C-101B-9397-08002B2CF9AE}" pid="6" name="MSIP_Label_729a19d4-3005-49f1-9d8c-8924f528f29b_Enabled">
    <vt:lpwstr>true</vt:lpwstr>
  </property>
  <property fmtid="{D5CDD505-2E9C-101B-9397-08002B2CF9AE}" pid="7" name="MSIP_Label_729a19d4-3005-49f1-9d8c-8924f528f29b_SetDate">
    <vt:lpwstr>2025-07-29T01:12:23Z</vt:lpwstr>
  </property>
  <property fmtid="{D5CDD505-2E9C-101B-9397-08002B2CF9AE}" pid="8" name="MSIP_Label_729a19d4-3005-49f1-9d8c-8924f528f29b_Method">
    <vt:lpwstr>Standard</vt:lpwstr>
  </property>
  <property fmtid="{D5CDD505-2E9C-101B-9397-08002B2CF9AE}" pid="9" name="MSIP_Label_729a19d4-3005-49f1-9d8c-8924f528f29b_Name">
    <vt:lpwstr>Organisation</vt:lpwstr>
  </property>
  <property fmtid="{D5CDD505-2E9C-101B-9397-08002B2CF9AE}" pid="10" name="MSIP_Label_729a19d4-3005-49f1-9d8c-8924f528f29b_SiteId">
    <vt:lpwstr>01ce6efc-7935-414f-b831-2b1d356f92e4</vt:lpwstr>
  </property>
  <property fmtid="{D5CDD505-2E9C-101B-9397-08002B2CF9AE}" pid="11" name="MSIP_Label_729a19d4-3005-49f1-9d8c-8924f528f29b_ActionId">
    <vt:lpwstr>17979468-ae64-4e69-b3f0-36b9aa652784</vt:lpwstr>
  </property>
  <property fmtid="{D5CDD505-2E9C-101B-9397-08002B2CF9AE}" pid="12" name="MSIP_Label_729a19d4-3005-49f1-9d8c-8924f528f29b_ContentBits">
    <vt:lpwstr>2</vt:lpwstr>
  </property>
  <property fmtid="{D5CDD505-2E9C-101B-9397-08002B2CF9AE}" pid="13" name="MSIP_Label_729a19d4-3005-49f1-9d8c-8924f528f29b_Tag">
    <vt:lpwstr>10, 3, 0, 2</vt:lpwstr>
  </property>
</Properties>
</file>