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A510C" w14:textId="2D7B3228" w:rsidR="00D23157" w:rsidRPr="003B1240" w:rsidRDefault="00D23157" w:rsidP="00295FEA">
      <w:pPr>
        <w:pStyle w:val="Heading2"/>
        <w:rPr>
          <w:rFonts w:ascii="Arial" w:hAnsi="Arial" w:cs="Arial"/>
          <w:b/>
          <w:bCs/>
          <w:color w:val="4C94D8" w:themeColor="text2" w:themeTint="80"/>
        </w:rPr>
      </w:pPr>
      <w:r w:rsidRPr="003B1240">
        <w:rPr>
          <w:rFonts w:ascii="Arial" w:hAnsi="Arial" w:cs="Arial"/>
          <w:b/>
          <w:bCs/>
          <w:color w:val="4C94D8" w:themeColor="text2" w:themeTint="80"/>
        </w:rPr>
        <w:t>Appendix E</w:t>
      </w:r>
      <w:r w:rsidR="00AB0D09" w:rsidRPr="003B1240">
        <w:rPr>
          <w:rFonts w:ascii="Arial" w:hAnsi="Arial" w:cs="Arial"/>
          <w:b/>
          <w:bCs/>
          <w:color w:val="4C94D8" w:themeColor="text2" w:themeTint="80"/>
        </w:rPr>
        <w:tab/>
        <w:t xml:space="preserve">Format for </w:t>
      </w:r>
      <w:r w:rsidR="00456F97" w:rsidRPr="003B1240">
        <w:rPr>
          <w:rFonts w:ascii="Arial" w:hAnsi="Arial" w:cs="Arial"/>
          <w:b/>
          <w:bCs/>
          <w:color w:val="4C94D8" w:themeColor="text2" w:themeTint="80"/>
        </w:rPr>
        <w:t>Feedback</w:t>
      </w:r>
    </w:p>
    <w:p w14:paraId="1C143D50" w14:textId="00D34282" w:rsidR="00D23157" w:rsidRPr="00465D2E" w:rsidRDefault="00A20FD9" w:rsidP="00465D2E">
      <w:pPr>
        <w:pStyle w:val="AppendixHeading"/>
        <w:spacing w:before="0"/>
        <w:ind w:left="1418" w:firstLine="720"/>
        <w:rPr>
          <w:rFonts w:ascii="Arial" w:hAnsi="Arial" w:cs="Arial"/>
          <w:color w:val="0F4761" w:themeColor="accent1" w:themeShade="BF"/>
          <w:sz w:val="26"/>
          <w:szCs w:val="26"/>
          <w:lang w:val="en-NZ"/>
        </w:rPr>
      </w:pPr>
      <w:r w:rsidRPr="00080B14">
        <w:rPr>
          <w:rFonts w:ascii="Arial" w:hAnsi="Arial" w:cs="Arial"/>
          <w:color w:val="0F4761" w:themeColor="accent1" w:themeShade="BF"/>
          <w:sz w:val="26"/>
          <w:szCs w:val="26"/>
          <w:lang w:val="en-NZ"/>
        </w:rPr>
        <w:t>Exploring network visibility: costs, benefits and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93"/>
      </w:tblGrid>
      <w:tr w:rsidR="00D23157" w:rsidRPr="00A20FD9" w14:paraId="4AC4A29A" w14:textId="77777777" w:rsidTr="00F24F95">
        <w:tc>
          <w:tcPr>
            <w:tcW w:w="3823" w:type="dxa"/>
            <w:tcBorders>
              <w:top w:val="single" w:sz="4" w:space="0" w:color="auto"/>
              <w:left w:val="single" w:sz="4" w:space="0" w:color="auto"/>
              <w:bottom w:val="single" w:sz="4" w:space="0" w:color="auto"/>
              <w:right w:val="single" w:sz="4" w:space="0" w:color="auto"/>
            </w:tcBorders>
            <w:shd w:val="clear" w:color="auto" w:fill="0A2F41" w:themeFill="accent1" w:themeFillShade="80"/>
            <w:hideMark/>
          </w:tcPr>
          <w:p w14:paraId="4F80E022" w14:textId="77777777" w:rsidR="00D23157" w:rsidRPr="00B14372" w:rsidRDefault="00D23157" w:rsidP="0069465D">
            <w:pPr>
              <w:spacing w:before="120" w:after="120" w:line="276" w:lineRule="auto"/>
              <w:rPr>
                <w:rFonts w:ascii="Arial" w:hAnsi="Arial" w:cs="Arial"/>
                <w:b/>
              </w:rPr>
            </w:pPr>
            <w:r w:rsidRPr="00B14372">
              <w:rPr>
                <w:rFonts w:ascii="Arial" w:hAnsi="Arial" w:cs="Arial"/>
                <w:b/>
              </w:rPr>
              <w:t>Submitter</w:t>
            </w:r>
          </w:p>
        </w:tc>
        <w:tc>
          <w:tcPr>
            <w:tcW w:w="5193" w:type="dxa"/>
            <w:tcBorders>
              <w:top w:val="single" w:sz="4" w:space="0" w:color="auto"/>
              <w:left w:val="single" w:sz="4" w:space="0" w:color="auto"/>
              <w:bottom w:val="single" w:sz="4" w:space="0" w:color="auto"/>
              <w:right w:val="single" w:sz="4" w:space="0" w:color="auto"/>
            </w:tcBorders>
            <w:shd w:val="clear" w:color="auto" w:fill="F4F4F4"/>
          </w:tcPr>
          <w:p w14:paraId="1E23496D" w14:textId="77777777" w:rsidR="00D23157" w:rsidRPr="00A20FD9" w:rsidRDefault="00D23157" w:rsidP="00F24F95">
            <w:pPr>
              <w:rPr>
                <w:bCs/>
              </w:rPr>
            </w:pPr>
          </w:p>
        </w:tc>
      </w:tr>
      <w:tr w:rsidR="00D23157" w:rsidRPr="00A20FD9" w14:paraId="6059B19A" w14:textId="77777777" w:rsidTr="004806E8">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9EDD23" w14:textId="0F2881B7" w:rsidR="00D23157" w:rsidRPr="00B14372" w:rsidRDefault="008633CE" w:rsidP="009A513C">
            <w:pPr>
              <w:spacing w:before="120" w:after="120" w:line="276" w:lineRule="auto"/>
              <w:rPr>
                <w:rFonts w:ascii="Arial" w:hAnsi="Arial" w:cs="Arial"/>
                <w:b/>
                <w:sz w:val="22"/>
                <w:szCs w:val="22"/>
              </w:rPr>
            </w:pPr>
            <w:r w:rsidRPr="00B14372">
              <w:rPr>
                <w:rFonts w:ascii="Arial" w:eastAsiaTheme="minorHAnsi" w:hAnsi="Arial" w:cs="Arial"/>
                <w:kern w:val="0"/>
                <w:sz w:val="22"/>
                <w:szCs w:val="22"/>
                <w:lang w:eastAsia="en-US" w:bidi="ar-SA"/>
                <w14:ligatures w14:val="none"/>
              </w:rPr>
              <w:t>What is your interest in</w:t>
            </w:r>
            <w:r w:rsidR="004806E8" w:rsidRPr="00B14372">
              <w:rPr>
                <w:rFonts w:ascii="Arial" w:eastAsiaTheme="minorHAnsi" w:hAnsi="Arial" w:cs="Arial"/>
                <w:kern w:val="0"/>
                <w:sz w:val="22"/>
                <w:szCs w:val="22"/>
                <w:lang w:eastAsia="en-US" w:bidi="ar-SA"/>
                <w14:ligatures w14:val="none"/>
              </w:rPr>
              <w:t xml:space="preserve"> network </w:t>
            </w:r>
            <w:r w:rsidR="006114E3" w:rsidRPr="00B14372">
              <w:rPr>
                <w:rFonts w:ascii="Arial" w:eastAsiaTheme="minorHAnsi" w:hAnsi="Arial" w:cs="Arial"/>
                <w:kern w:val="0"/>
                <w:sz w:val="22"/>
                <w:szCs w:val="22"/>
                <w:lang w:eastAsia="en-US" w:bidi="ar-SA"/>
                <w14:ligatures w14:val="none"/>
              </w:rPr>
              <w:t>visibility</w:t>
            </w:r>
            <w:r w:rsidR="004806E8" w:rsidRPr="00B14372">
              <w:rPr>
                <w:rFonts w:ascii="Arial" w:eastAsiaTheme="minorHAnsi" w:hAnsi="Arial" w:cs="Arial"/>
                <w:kern w:val="0"/>
                <w:sz w:val="22"/>
                <w:szCs w:val="22"/>
                <w:lang w:eastAsia="en-US" w:bidi="ar-SA"/>
                <w14:ligatures w14:val="none"/>
              </w:rPr>
              <w:t>?</w:t>
            </w:r>
            <w:r w:rsidRPr="00B14372">
              <w:rPr>
                <w:rFonts w:ascii="Arial" w:hAnsi="Arial" w:cs="Arial"/>
                <w:b/>
                <w:sz w:val="22"/>
                <w:szCs w:val="22"/>
              </w:rPr>
              <w:t xml:space="preserve"> </w:t>
            </w:r>
          </w:p>
        </w:tc>
        <w:tc>
          <w:tcPr>
            <w:tcW w:w="5193" w:type="dxa"/>
            <w:tcBorders>
              <w:top w:val="single" w:sz="4" w:space="0" w:color="auto"/>
              <w:left w:val="single" w:sz="4" w:space="0" w:color="auto"/>
              <w:bottom w:val="single" w:sz="4" w:space="0" w:color="auto"/>
              <w:right w:val="single" w:sz="4" w:space="0" w:color="auto"/>
            </w:tcBorders>
            <w:shd w:val="clear" w:color="auto" w:fill="F4F4F4"/>
          </w:tcPr>
          <w:p w14:paraId="0D9676D6" w14:textId="713803B7" w:rsidR="00D23157" w:rsidRPr="00A20FD9" w:rsidRDefault="00D23157" w:rsidP="00F24F95">
            <w:pPr>
              <w:jc w:val="center"/>
              <w:rPr>
                <w:bCs/>
              </w:rPr>
            </w:pPr>
          </w:p>
        </w:tc>
      </w:tr>
    </w:tbl>
    <w:p w14:paraId="6BFF542F" w14:textId="77777777" w:rsidR="00D23157" w:rsidRPr="00A20FD9" w:rsidRDefault="00D23157" w:rsidP="00D23157"/>
    <w:tbl>
      <w:tblPr>
        <w:tblStyle w:val="EATable2"/>
        <w:tblW w:w="0" w:type="auto"/>
        <w:tblLook w:val="04A0" w:firstRow="1" w:lastRow="0" w:firstColumn="1" w:lastColumn="0" w:noHBand="0" w:noVBand="1"/>
      </w:tblPr>
      <w:tblGrid>
        <w:gridCol w:w="3828"/>
        <w:gridCol w:w="5198"/>
      </w:tblGrid>
      <w:tr w:rsidR="00D23157" w:rsidRPr="00A20FD9" w14:paraId="15D27E23" w14:textId="77777777" w:rsidTr="00B34D7A">
        <w:trPr>
          <w:cnfStyle w:val="100000000000" w:firstRow="1" w:lastRow="0" w:firstColumn="0" w:lastColumn="0" w:oddVBand="0" w:evenVBand="0" w:oddHBand="0" w:evenHBand="0" w:firstRowFirstColumn="0" w:firstRowLastColumn="0" w:lastRowFirstColumn="0" w:lastRowLastColumn="0"/>
        </w:trPr>
        <w:tc>
          <w:tcPr>
            <w:tcW w:w="3828" w:type="dxa"/>
            <w:shd w:val="clear" w:color="auto" w:fill="0A2F41" w:themeFill="accent1" w:themeFillShade="80"/>
            <w:hideMark/>
          </w:tcPr>
          <w:p w14:paraId="3D4D76DA" w14:textId="77777777" w:rsidR="00D23157" w:rsidRPr="00B14372" w:rsidRDefault="00D23157" w:rsidP="0069465D">
            <w:pPr>
              <w:spacing w:before="120" w:after="120" w:line="276" w:lineRule="auto"/>
              <w:rPr>
                <w:rFonts w:ascii="Arial" w:eastAsiaTheme="minorEastAsia" w:hAnsi="Arial" w:cs="Arial"/>
                <w:kern w:val="2"/>
                <w:sz w:val="24"/>
                <w:szCs w:val="30"/>
                <w:lang w:eastAsia="zh-CN" w:bidi="th-TH"/>
                <w14:ligatures w14:val="standardContextual"/>
              </w:rPr>
            </w:pPr>
            <w:r w:rsidRPr="00B14372">
              <w:rPr>
                <w:rFonts w:ascii="Arial" w:eastAsiaTheme="minorEastAsia" w:hAnsi="Arial" w:cs="Arial"/>
                <w:kern w:val="2"/>
                <w:sz w:val="24"/>
                <w:szCs w:val="30"/>
                <w:lang w:eastAsia="zh-CN" w:bidi="th-TH"/>
                <w14:ligatures w14:val="standardContextual"/>
              </w:rPr>
              <w:t>Questions</w:t>
            </w:r>
          </w:p>
        </w:tc>
        <w:tc>
          <w:tcPr>
            <w:tcW w:w="5198" w:type="dxa"/>
            <w:shd w:val="clear" w:color="auto" w:fill="0A2F41" w:themeFill="accent1" w:themeFillShade="80"/>
            <w:hideMark/>
          </w:tcPr>
          <w:p w14:paraId="5FD552B3" w14:textId="77777777" w:rsidR="00D23157" w:rsidRPr="0069465D" w:rsidRDefault="00D23157" w:rsidP="0069465D">
            <w:pPr>
              <w:spacing w:before="120" w:after="120" w:line="276" w:lineRule="auto"/>
              <w:rPr>
                <w:rFonts w:ascii="Arial" w:eastAsiaTheme="minorEastAsia" w:hAnsi="Arial" w:cs="Arial"/>
                <w:kern w:val="2"/>
                <w:sz w:val="24"/>
                <w:szCs w:val="30"/>
                <w:lang w:eastAsia="zh-CN" w:bidi="th-TH"/>
                <w14:ligatures w14:val="standardContextual"/>
              </w:rPr>
            </w:pPr>
            <w:r w:rsidRPr="0069465D">
              <w:rPr>
                <w:rFonts w:ascii="Arial" w:eastAsiaTheme="minorEastAsia" w:hAnsi="Arial" w:cs="Arial"/>
                <w:kern w:val="2"/>
                <w:sz w:val="24"/>
                <w:szCs w:val="30"/>
                <w:lang w:eastAsia="zh-CN" w:bidi="th-TH"/>
                <w14:ligatures w14:val="standardContextual"/>
              </w:rPr>
              <w:t>Comments</w:t>
            </w:r>
          </w:p>
        </w:tc>
      </w:tr>
      <w:tr w:rsidR="00D23157" w:rsidRPr="00A20FD9" w14:paraId="510B619B" w14:textId="77777777" w:rsidTr="00F24F95">
        <w:trPr>
          <w:cnfStyle w:val="000000100000" w:firstRow="0" w:lastRow="0" w:firstColumn="0" w:lastColumn="0" w:oddVBand="0" w:evenVBand="0" w:oddHBand="1" w:evenHBand="0" w:firstRowFirstColumn="0" w:firstRowLastColumn="0" w:lastRowFirstColumn="0" w:lastRowLastColumn="0"/>
        </w:trPr>
        <w:tc>
          <w:tcPr>
            <w:tcW w:w="3828" w:type="dxa"/>
            <w:hideMark/>
          </w:tcPr>
          <w:p w14:paraId="473DC7C7" w14:textId="75F2F9BB" w:rsidR="00D23157" w:rsidRPr="00B14372" w:rsidRDefault="004372C2" w:rsidP="00C221FF">
            <w:pPr>
              <w:spacing w:before="120" w:after="120" w:line="276" w:lineRule="auto"/>
              <w:rPr>
                <w:rFonts w:ascii="Arial" w:hAnsi="Arial" w:cs="Arial"/>
              </w:rPr>
            </w:pPr>
            <w:r w:rsidRPr="00B14372">
              <w:rPr>
                <w:rFonts w:ascii="Arial" w:hAnsi="Arial" w:cs="Arial"/>
              </w:rPr>
              <w:t xml:space="preserve">Q1. </w:t>
            </w:r>
            <w:r w:rsidR="00D23157" w:rsidRPr="00B14372">
              <w:rPr>
                <w:rFonts w:ascii="Arial" w:hAnsi="Arial" w:cs="Arial"/>
              </w:rPr>
              <w:t xml:space="preserve">Are you aware of </w:t>
            </w:r>
            <w:r w:rsidR="00CA606D" w:rsidRPr="00B14372">
              <w:rPr>
                <w:rFonts w:ascii="Arial" w:hAnsi="Arial" w:cs="Arial"/>
              </w:rPr>
              <w:t xml:space="preserve">the extent of the information </w:t>
            </w:r>
            <w:r w:rsidR="00B80C87" w:rsidRPr="00B14372">
              <w:rPr>
                <w:rFonts w:ascii="Arial" w:hAnsi="Arial" w:cs="Arial"/>
              </w:rPr>
              <w:t>currently being provided by distributors (including through disclosures)</w:t>
            </w:r>
            <w:r w:rsidR="00940B55" w:rsidRPr="00B14372">
              <w:rPr>
                <w:rFonts w:ascii="Arial" w:hAnsi="Arial" w:cs="Arial"/>
              </w:rPr>
              <w:t>?</w:t>
            </w:r>
          </w:p>
        </w:tc>
        <w:tc>
          <w:tcPr>
            <w:tcW w:w="5198" w:type="dxa"/>
          </w:tcPr>
          <w:p w14:paraId="2825E693" w14:textId="77777777" w:rsidR="00D23157" w:rsidRPr="00B14372" w:rsidRDefault="00D23157" w:rsidP="00F24F95">
            <w:pPr>
              <w:spacing w:before="160" w:after="160"/>
              <w:jc w:val="center"/>
              <w:rPr>
                <w:rFonts w:ascii="Arial" w:hAnsi="Arial" w:cs="Arial"/>
              </w:rPr>
            </w:pPr>
            <w:r w:rsidRPr="00B14372">
              <w:rPr>
                <w:rFonts w:ascii="Arial" w:hAnsi="Arial" w:cs="Arial"/>
              </w:rPr>
              <w:t xml:space="preserve">Yes / No </w:t>
            </w:r>
          </w:p>
        </w:tc>
      </w:tr>
      <w:tr w:rsidR="005E3432" w:rsidRPr="00A20FD9" w14:paraId="273AAF91" w14:textId="77777777" w:rsidTr="00F24F95">
        <w:trPr>
          <w:cnfStyle w:val="000000010000" w:firstRow="0" w:lastRow="0" w:firstColumn="0" w:lastColumn="0" w:oddVBand="0" w:evenVBand="0" w:oddHBand="0" w:evenHBand="1" w:firstRowFirstColumn="0" w:firstRowLastColumn="0" w:lastRowFirstColumn="0" w:lastRowLastColumn="0"/>
        </w:trPr>
        <w:tc>
          <w:tcPr>
            <w:tcW w:w="3828" w:type="dxa"/>
          </w:tcPr>
          <w:p w14:paraId="018E1A25" w14:textId="1971F622" w:rsidR="005E6F57" w:rsidRPr="00B14372" w:rsidRDefault="00080B14" w:rsidP="00C221FF">
            <w:pPr>
              <w:spacing w:before="120" w:after="120" w:line="276" w:lineRule="auto"/>
              <w:rPr>
                <w:rFonts w:ascii="Arial" w:hAnsi="Arial" w:cs="Arial"/>
              </w:rPr>
            </w:pPr>
            <w:r w:rsidRPr="00B14372">
              <w:rPr>
                <w:rFonts w:ascii="Arial" w:hAnsi="Arial" w:cs="Arial"/>
              </w:rPr>
              <w:t xml:space="preserve">Q2. </w:t>
            </w:r>
            <w:r w:rsidR="005E6F57" w:rsidRPr="00B14372">
              <w:rPr>
                <w:rFonts w:ascii="Arial" w:hAnsi="Arial" w:cs="Arial"/>
              </w:rPr>
              <w:t>How do current distributor disclosures support your understanding of available capacity, constraints and opportunities on:</w:t>
            </w:r>
          </w:p>
          <w:p w14:paraId="35732968" w14:textId="3D8E5D67" w:rsidR="005E6F57" w:rsidRPr="00B14372" w:rsidRDefault="00806960" w:rsidP="00C221FF">
            <w:pPr>
              <w:pStyle w:val="ListParagraph"/>
              <w:numPr>
                <w:ilvl w:val="0"/>
                <w:numId w:val="4"/>
              </w:numPr>
              <w:spacing w:before="120" w:after="120" w:line="276" w:lineRule="auto"/>
              <w:rPr>
                <w:rFonts w:ascii="Arial" w:hAnsi="Arial" w:cs="Arial"/>
              </w:rPr>
            </w:pPr>
            <w:r w:rsidRPr="00B14372">
              <w:rPr>
                <w:rFonts w:ascii="Arial" w:hAnsi="Arial" w:cs="Arial"/>
              </w:rPr>
              <w:t>h</w:t>
            </w:r>
            <w:r w:rsidR="005E6F57" w:rsidRPr="00B14372">
              <w:rPr>
                <w:rFonts w:ascii="Arial" w:hAnsi="Arial" w:cs="Arial"/>
              </w:rPr>
              <w:t>igh-voltage networks?</w:t>
            </w:r>
          </w:p>
          <w:p w14:paraId="31805AB4" w14:textId="7AA31423" w:rsidR="005E3432" w:rsidRPr="00B14372" w:rsidRDefault="00806960" w:rsidP="00C221FF">
            <w:pPr>
              <w:pStyle w:val="ListParagraph"/>
              <w:numPr>
                <w:ilvl w:val="0"/>
                <w:numId w:val="4"/>
              </w:numPr>
              <w:spacing w:before="120" w:after="120" w:line="276" w:lineRule="auto"/>
              <w:rPr>
                <w:rFonts w:ascii="Arial" w:hAnsi="Arial" w:cs="Arial"/>
              </w:rPr>
            </w:pPr>
            <w:r w:rsidRPr="00B14372">
              <w:rPr>
                <w:rFonts w:ascii="Arial" w:hAnsi="Arial" w:cs="Arial"/>
              </w:rPr>
              <w:t>l</w:t>
            </w:r>
            <w:r w:rsidR="005E6F57" w:rsidRPr="00B14372">
              <w:rPr>
                <w:rFonts w:ascii="Arial" w:hAnsi="Arial" w:cs="Arial"/>
              </w:rPr>
              <w:t>ow-voltage networks?</w:t>
            </w:r>
          </w:p>
        </w:tc>
        <w:tc>
          <w:tcPr>
            <w:tcW w:w="5198" w:type="dxa"/>
          </w:tcPr>
          <w:p w14:paraId="24247F77" w14:textId="77777777" w:rsidR="005E3432" w:rsidRPr="00B14372" w:rsidRDefault="005E3432" w:rsidP="00F24F95">
            <w:pPr>
              <w:rPr>
                <w:rFonts w:ascii="Arial" w:hAnsi="Arial" w:cs="Arial"/>
              </w:rPr>
            </w:pPr>
          </w:p>
        </w:tc>
      </w:tr>
      <w:tr w:rsidR="00D23157" w:rsidRPr="00A20FD9" w14:paraId="19EBCE47" w14:textId="77777777" w:rsidTr="00F24F95">
        <w:trPr>
          <w:cnfStyle w:val="000000100000" w:firstRow="0" w:lastRow="0" w:firstColumn="0" w:lastColumn="0" w:oddVBand="0" w:evenVBand="0" w:oddHBand="1" w:evenHBand="0" w:firstRowFirstColumn="0" w:firstRowLastColumn="0" w:lastRowFirstColumn="0" w:lastRowLastColumn="0"/>
        </w:trPr>
        <w:tc>
          <w:tcPr>
            <w:tcW w:w="3828" w:type="dxa"/>
            <w:hideMark/>
          </w:tcPr>
          <w:p w14:paraId="60065191" w14:textId="5360F3DB" w:rsidR="00D23157" w:rsidRPr="00B14372" w:rsidRDefault="0051438D" w:rsidP="00C221FF">
            <w:pPr>
              <w:spacing w:before="120" w:after="120" w:line="276" w:lineRule="auto"/>
              <w:rPr>
                <w:rFonts w:ascii="Arial" w:hAnsi="Arial" w:cs="Arial"/>
              </w:rPr>
            </w:pPr>
            <w:r w:rsidRPr="00B14372">
              <w:rPr>
                <w:rFonts w:ascii="Arial" w:hAnsi="Arial" w:cs="Arial"/>
              </w:rPr>
              <w:t xml:space="preserve">Q3. </w:t>
            </w:r>
            <w:r w:rsidR="005E6F57" w:rsidRPr="00B14372">
              <w:rPr>
                <w:rFonts w:ascii="Arial" w:hAnsi="Arial" w:cs="Arial"/>
              </w:rPr>
              <w:t>How are you making use of existing disclosure</w:t>
            </w:r>
            <w:r w:rsidR="00E915FF" w:rsidRPr="00B14372">
              <w:rPr>
                <w:rFonts w:ascii="Arial" w:hAnsi="Arial" w:cs="Arial"/>
              </w:rPr>
              <w:t>s to support more efficient outcomes?</w:t>
            </w:r>
          </w:p>
        </w:tc>
        <w:tc>
          <w:tcPr>
            <w:tcW w:w="5198" w:type="dxa"/>
          </w:tcPr>
          <w:p w14:paraId="6D7418E4" w14:textId="77777777" w:rsidR="00D23157" w:rsidRPr="00B14372" w:rsidRDefault="00D23157" w:rsidP="00F24F95">
            <w:pPr>
              <w:spacing w:after="160"/>
              <w:rPr>
                <w:rFonts w:ascii="Arial" w:hAnsi="Arial" w:cs="Arial"/>
              </w:rPr>
            </w:pPr>
          </w:p>
        </w:tc>
      </w:tr>
      <w:tr w:rsidR="00035BBC" w:rsidRPr="00A20FD9" w14:paraId="4E859F3D" w14:textId="77777777" w:rsidTr="00F24F95">
        <w:trPr>
          <w:cnfStyle w:val="000000010000" w:firstRow="0" w:lastRow="0" w:firstColumn="0" w:lastColumn="0" w:oddVBand="0" w:evenVBand="0" w:oddHBand="0" w:evenHBand="1" w:firstRowFirstColumn="0" w:firstRowLastColumn="0" w:lastRowFirstColumn="0" w:lastRowLastColumn="0"/>
        </w:trPr>
        <w:tc>
          <w:tcPr>
            <w:tcW w:w="3828" w:type="dxa"/>
          </w:tcPr>
          <w:p w14:paraId="01E74A71" w14:textId="059C4505" w:rsidR="00035BBC" w:rsidRPr="00B14372" w:rsidRDefault="0051438D" w:rsidP="00C221FF">
            <w:pPr>
              <w:spacing w:before="120" w:after="120" w:line="276" w:lineRule="auto"/>
              <w:rPr>
                <w:rFonts w:ascii="Arial" w:hAnsi="Arial" w:cs="Arial"/>
              </w:rPr>
            </w:pPr>
            <w:r w:rsidRPr="00B14372">
              <w:rPr>
                <w:rFonts w:ascii="Arial" w:hAnsi="Arial" w:cs="Arial"/>
              </w:rPr>
              <w:t xml:space="preserve">Q4. </w:t>
            </w:r>
            <w:r w:rsidR="007B7C4C" w:rsidRPr="00B14372">
              <w:rPr>
                <w:rFonts w:ascii="Arial" w:hAnsi="Arial" w:cs="Arial"/>
              </w:rPr>
              <w:t>Would</w:t>
            </w:r>
            <w:r w:rsidR="00D54EB3" w:rsidRPr="00B14372">
              <w:rPr>
                <w:rFonts w:ascii="Arial" w:hAnsi="Arial" w:cs="Arial"/>
              </w:rPr>
              <w:t xml:space="preserve"> </w:t>
            </w:r>
            <w:r w:rsidR="00F72BE4" w:rsidRPr="00B14372">
              <w:rPr>
                <w:rFonts w:ascii="Arial" w:hAnsi="Arial" w:cs="Arial"/>
              </w:rPr>
              <w:t>changes to</w:t>
            </w:r>
            <w:r w:rsidR="00B15905" w:rsidRPr="00B14372">
              <w:rPr>
                <w:rFonts w:ascii="Arial" w:hAnsi="Arial" w:cs="Arial"/>
              </w:rPr>
              <w:t xml:space="preserve"> the</w:t>
            </w:r>
            <w:r w:rsidR="00F72BE4" w:rsidRPr="00B14372">
              <w:rPr>
                <w:rFonts w:ascii="Arial" w:hAnsi="Arial" w:cs="Arial"/>
              </w:rPr>
              <w:t xml:space="preserve"> </w:t>
            </w:r>
            <w:r w:rsidR="007B7C4C" w:rsidRPr="00B14372">
              <w:rPr>
                <w:rFonts w:ascii="Arial" w:hAnsi="Arial" w:cs="Arial"/>
              </w:rPr>
              <w:t xml:space="preserve">type of data, </w:t>
            </w:r>
            <w:r w:rsidR="006919D0" w:rsidRPr="00B14372">
              <w:rPr>
                <w:rFonts w:ascii="Arial" w:hAnsi="Arial" w:cs="Arial"/>
              </w:rPr>
              <w:t xml:space="preserve">format, regularity or granularity </w:t>
            </w:r>
            <w:r w:rsidR="00F82212" w:rsidRPr="00B14372">
              <w:rPr>
                <w:rFonts w:ascii="Arial" w:hAnsi="Arial" w:cs="Arial"/>
              </w:rPr>
              <w:t xml:space="preserve">of distributor disclosures </w:t>
            </w:r>
            <w:r w:rsidR="00224A33" w:rsidRPr="00B14372">
              <w:rPr>
                <w:rFonts w:ascii="Arial" w:hAnsi="Arial" w:cs="Arial"/>
              </w:rPr>
              <w:t>better support decision-making? Please provide detail</w:t>
            </w:r>
            <w:r w:rsidR="00562DC4" w:rsidRPr="00B14372">
              <w:rPr>
                <w:rFonts w:ascii="Arial" w:hAnsi="Arial" w:cs="Arial"/>
              </w:rPr>
              <w:t>.</w:t>
            </w:r>
          </w:p>
        </w:tc>
        <w:tc>
          <w:tcPr>
            <w:tcW w:w="5198" w:type="dxa"/>
          </w:tcPr>
          <w:p w14:paraId="211F72D8" w14:textId="77777777" w:rsidR="00035BBC" w:rsidRPr="00B14372" w:rsidRDefault="00035BBC" w:rsidP="00F24F95">
            <w:pPr>
              <w:rPr>
                <w:rFonts w:ascii="Arial" w:hAnsi="Arial" w:cs="Arial"/>
              </w:rPr>
            </w:pPr>
          </w:p>
        </w:tc>
      </w:tr>
      <w:tr w:rsidR="00D23157" w:rsidRPr="00A20FD9" w14:paraId="12D34F0F" w14:textId="77777777" w:rsidTr="00F24F95">
        <w:trPr>
          <w:cnfStyle w:val="000000100000" w:firstRow="0" w:lastRow="0" w:firstColumn="0" w:lastColumn="0" w:oddVBand="0" w:evenVBand="0" w:oddHBand="1" w:evenHBand="0" w:firstRowFirstColumn="0" w:firstRowLastColumn="0" w:lastRowFirstColumn="0" w:lastRowLastColumn="0"/>
        </w:trPr>
        <w:tc>
          <w:tcPr>
            <w:tcW w:w="3828" w:type="dxa"/>
          </w:tcPr>
          <w:p w14:paraId="31D0776D" w14:textId="6BD14F5F" w:rsidR="00D23157" w:rsidRPr="00B14372" w:rsidRDefault="0051438D" w:rsidP="00C221FF">
            <w:pPr>
              <w:spacing w:before="120" w:after="120" w:line="276" w:lineRule="auto"/>
              <w:rPr>
                <w:rFonts w:ascii="Arial" w:eastAsia="Arial" w:hAnsi="Arial" w:cs="Arial"/>
              </w:rPr>
            </w:pPr>
            <w:r w:rsidRPr="00B14372">
              <w:rPr>
                <w:rFonts w:ascii="Arial" w:hAnsi="Arial" w:cs="Arial"/>
              </w:rPr>
              <w:t xml:space="preserve">Q5. </w:t>
            </w:r>
            <w:r w:rsidR="0076155B" w:rsidRPr="00B14372">
              <w:rPr>
                <w:rFonts w:ascii="Arial" w:hAnsi="Arial" w:cs="Arial"/>
              </w:rPr>
              <w:t>What</w:t>
            </w:r>
            <w:r w:rsidR="00D75973" w:rsidRPr="00B14372">
              <w:rPr>
                <w:rFonts w:ascii="Arial" w:hAnsi="Arial" w:cs="Arial"/>
              </w:rPr>
              <w:t xml:space="preserve"> other </w:t>
            </w:r>
            <w:r w:rsidR="0076155B" w:rsidRPr="00B14372">
              <w:rPr>
                <w:rFonts w:ascii="Arial" w:hAnsi="Arial" w:cs="Arial"/>
              </w:rPr>
              <w:t xml:space="preserve">disclosures </w:t>
            </w:r>
            <w:r w:rsidR="00CF69D0" w:rsidRPr="00B14372">
              <w:rPr>
                <w:rFonts w:ascii="Arial" w:hAnsi="Arial" w:cs="Arial"/>
              </w:rPr>
              <w:t>of network information</w:t>
            </w:r>
            <w:r w:rsidR="00A44344" w:rsidRPr="00B14372">
              <w:rPr>
                <w:rFonts w:ascii="Arial" w:hAnsi="Arial" w:cs="Arial"/>
              </w:rPr>
              <w:t xml:space="preserve"> </w:t>
            </w:r>
            <w:r w:rsidR="00D75973" w:rsidRPr="00B14372">
              <w:rPr>
                <w:rFonts w:ascii="Arial" w:hAnsi="Arial" w:cs="Arial"/>
              </w:rPr>
              <w:t xml:space="preserve">would further inform your choices and decisions? </w:t>
            </w:r>
          </w:p>
        </w:tc>
        <w:tc>
          <w:tcPr>
            <w:tcW w:w="5198" w:type="dxa"/>
          </w:tcPr>
          <w:p w14:paraId="25824D11" w14:textId="77777777" w:rsidR="00D23157" w:rsidRPr="00B14372" w:rsidRDefault="00D23157" w:rsidP="00F24F95">
            <w:pPr>
              <w:rPr>
                <w:rFonts w:ascii="Arial" w:hAnsi="Arial" w:cs="Arial"/>
              </w:rPr>
            </w:pPr>
          </w:p>
        </w:tc>
      </w:tr>
      <w:tr w:rsidR="00920879" w:rsidRPr="00A20FD9" w14:paraId="6A3C4DB5" w14:textId="77777777" w:rsidTr="00F24F95">
        <w:trPr>
          <w:cnfStyle w:val="000000010000" w:firstRow="0" w:lastRow="0" w:firstColumn="0" w:lastColumn="0" w:oddVBand="0" w:evenVBand="0" w:oddHBand="0" w:evenHBand="1" w:firstRowFirstColumn="0" w:firstRowLastColumn="0" w:lastRowFirstColumn="0" w:lastRowLastColumn="0"/>
        </w:trPr>
        <w:tc>
          <w:tcPr>
            <w:tcW w:w="3828" w:type="dxa"/>
          </w:tcPr>
          <w:p w14:paraId="29B58CAB" w14:textId="255C00D4" w:rsidR="00920879" w:rsidRPr="00B14372" w:rsidRDefault="00E03CC4" w:rsidP="00C221FF">
            <w:pPr>
              <w:spacing w:before="120" w:after="120" w:line="276" w:lineRule="auto"/>
              <w:rPr>
                <w:rFonts w:ascii="Arial" w:hAnsi="Arial" w:cs="Arial"/>
              </w:rPr>
            </w:pPr>
            <w:r w:rsidRPr="00B14372">
              <w:rPr>
                <w:rFonts w:ascii="Arial" w:hAnsi="Arial" w:cs="Arial"/>
              </w:rPr>
              <w:t xml:space="preserve">Q6. </w:t>
            </w:r>
            <w:r w:rsidR="00920879" w:rsidRPr="00B14372">
              <w:rPr>
                <w:rFonts w:ascii="Arial" w:hAnsi="Arial" w:cs="Arial"/>
              </w:rPr>
              <w:t xml:space="preserve">What are </w:t>
            </w:r>
            <w:r w:rsidR="001B0529" w:rsidRPr="00B14372">
              <w:rPr>
                <w:rFonts w:ascii="Arial" w:hAnsi="Arial" w:cs="Arial"/>
              </w:rPr>
              <w:t>distributors’</w:t>
            </w:r>
            <w:r w:rsidR="00920879" w:rsidRPr="00B14372">
              <w:rPr>
                <w:rFonts w:ascii="Arial" w:hAnsi="Arial" w:cs="Arial"/>
              </w:rPr>
              <w:t xml:space="preserve"> </w:t>
            </w:r>
            <w:r w:rsidR="00F82212" w:rsidRPr="00B14372">
              <w:rPr>
                <w:rFonts w:ascii="Arial" w:hAnsi="Arial" w:cs="Arial"/>
              </w:rPr>
              <w:t>perspectives</w:t>
            </w:r>
            <w:r w:rsidR="00920879" w:rsidRPr="00B14372">
              <w:rPr>
                <w:rFonts w:ascii="Arial" w:hAnsi="Arial" w:cs="Arial"/>
              </w:rPr>
              <w:t xml:space="preserve"> on the value of collating and publishing network capacity information</w:t>
            </w:r>
            <w:r w:rsidR="003E137F" w:rsidRPr="00B14372">
              <w:rPr>
                <w:rFonts w:ascii="Arial" w:hAnsi="Arial" w:cs="Arial"/>
              </w:rPr>
              <w:t xml:space="preserve"> </w:t>
            </w:r>
            <w:r w:rsidR="001B0529" w:rsidRPr="00B14372">
              <w:rPr>
                <w:rFonts w:ascii="Arial" w:hAnsi="Arial" w:cs="Arial"/>
              </w:rPr>
              <w:t>for their own</w:t>
            </w:r>
            <w:r w:rsidR="00920879" w:rsidRPr="00B14372">
              <w:rPr>
                <w:rFonts w:ascii="Arial" w:hAnsi="Arial" w:cs="Arial"/>
              </w:rPr>
              <w:t xml:space="preserve"> business</w:t>
            </w:r>
            <w:r w:rsidR="001B0529" w:rsidRPr="00B14372">
              <w:rPr>
                <w:rFonts w:ascii="Arial" w:hAnsi="Arial" w:cs="Arial"/>
              </w:rPr>
              <w:t>es</w:t>
            </w:r>
            <w:r w:rsidR="003E137F" w:rsidRPr="00B14372">
              <w:rPr>
                <w:rFonts w:ascii="Arial" w:hAnsi="Arial" w:cs="Arial"/>
              </w:rPr>
              <w:t>?</w:t>
            </w:r>
          </w:p>
        </w:tc>
        <w:tc>
          <w:tcPr>
            <w:tcW w:w="5198" w:type="dxa"/>
          </w:tcPr>
          <w:p w14:paraId="34E2574F" w14:textId="77777777" w:rsidR="00920879" w:rsidRPr="00B14372" w:rsidRDefault="00920879" w:rsidP="00F24F95">
            <w:pPr>
              <w:rPr>
                <w:rFonts w:ascii="Arial" w:hAnsi="Arial" w:cs="Arial"/>
              </w:rPr>
            </w:pPr>
          </w:p>
        </w:tc>
      </w:tr>
      <w:tr w:rsidR="003E137F" w:rsidRPr="00A20FD9" w14:paraId="1A51896F" w14:textId="77777777" w:rsidTr="00F24F95">
        <w:trPr>
          <w:cnfStyle w:val="000000100000" w:firstRow="0" w:lastRow="0" w:firstColumn="0" w:lastColumn="0" w:oddVBand="0" w:evenVBand="0" w:oddHBand="1" w:evenHBand="0" w:firstRowFirstColumn="0" w:firstRowLastColumn="0" w:lastRowFirstColumn="0" w:lastRowLastColumn="0"/>
        </w:trPr>
        <w:tc>
          <w:tcPr>
            <w:tcW w:w="3828" w:type="dxa"/>
          </w:tcPr>
          <w:p w14:paraId="39E00F79" w14:textId="6C119930" w:rsidR="003E137F" w:rsidRPr="00B14372" w:rsidRDefault="003E137F" w:rsidP="00C221FF">
            <w:pPr>
              <w:spacing w:before="120" w:after="120" w:line="276" w:lineRule="auto"/>
              <w:rPr>
                <w:rFonts w:ascii="Arial" w:hAnsi="Arial" w:cs="Arial"/>
              </w:rPr>
            </w:pPr>
            <w:r w:rsidRPr="00B14372">
              <w:rPr>
                <w:rFonts w:ascii="Arial" w:hAnsi="Arial" w:cs="Arial"/>
              </w:rPr>
              <w:t xml:space="preserve">Q7. </w:t>
            </w:r>
            <w:r w:rsidR="00E00C81" w:rsidRPr="00B14372">
              <w:rPr>
                <w:rFonts w:ascii="Arial" w:hAnsi="Arial" w:cs="Arial"/>
              </w:rPr>
              <w:t xml:space="preserve">What are distributors’ perspectives on how well interested </w:t>
            </w:r>
            <w:r w:rsidR="00E00C81" w:rsidRPr="00B14372">
              <w:rPr>
                <w:rFonts w:ascii="Arial" w:hAnsi="Arial" w:cs="Arial"/>
              </w:rPr>
              <w:lastRenderedPageBreak/>
              <w:t>parties are using the data they already publish?</w:t>
            </w:r>
          </w:p>
        </w:tc>
        <w:tc>
          <w:tcPr>
            <w:tcW w:w="5198" w:type="dxa"/>
          </w:tcPr>
          <w:p w14:paraId="63BE65BA" w14:textId="77777777" w:rsidR="003E137F" w:rsidRPr="00B14372" w:rsidRDefault="003E137F" w:rsidP="00F24F95">
            <w:pPr>
              <w:rPr>
                <w:rFonts w:ascii="Arial" w:hAnsi="Arial" w:cs="Arial"/>
              </w:rPr>
            </w:pPr>
          </w:p>
        </w:tc>
      </w:tr>
      <w:tr w:rsidR="00D23157" w:rsidRPr="00A20FD9" w14:paraId="18567B7E" w14:textId="77777777" w:rsidTr="00F24F95">
        <w:trPr>
          <w:cnfStyle w:val="000000010000" w:firstRow="0" w:lastRow="0" w:firstColumn="0" w:lastColumn="0" w:oddVBand="0" w:evenVBand="0" w:oddHBand="0" w:evenHBand="1" w:firstRowFirstColumn="0" w:firstRowLastColumn="0" w:lastRowFirstColumn="0" w:lastRowLastColumn="0"/>
        </w:trPr>
        <w:tc>
          <w:tcPr>
            <w:tcW w:w="3828" w:type="dxa"/>
          </w:tcPr>
          <w:p w14:paraId="4F8CA9AC" w14:textId="34AE323E" w:rsidR="00D23157" w:rsidRPr="00B14372" w:rsidRDefault="00697F43" w:rsidP="00C221FF">
            <w:pPr>
              <w:spacing w:before="120" w:after="120" w:line="276" w:lineRule="auto"/>
              <w:rPr>
                <w:rFonts w:ascii="Arial" w:hAnsi="Arial" w:cs="Arial"/>
              </w:rPr>
            </w:pPr>
            <w:r w:rsidRPr="00B14372">
              <w:rPr>
                <w:rFonts w:ascii="Arial" w:hAnsi="Arial" w:cs="Arial"/>
              </w:rPr>
              <w:t xml:space="preserve">Q8. </w:t>
            </w:r>
            <w:r w:rsidR="001074EB" w:rsidRPr="00B14372">
              <w:rPr>
                <w:rFonts w:ascii="Arial" w:hAnsi="Arial" w:cs="Arial"/>
              </w:rPr>
              <w:t xml:space="preserve">What are </w:t>
            </w:r>
            <w:r w:rsidR="00B63675">
              <w:rPr>
                <w:rFonts w:ascii="Arial" w:hAnsi="Arial" w:cs="Arial"/>
              </w:rPr>
              <w:t>your</w:t>
            </w:r>
            <w:r w:rsidR="001074EB" w:rsidRPr="00B14372">
              <w:rPr>
                <w:rFonts w:ascii="Arial" w:hAnsi="Arial" w:cs="Arial"/>
              </w:rPr>
              <w:t xml:space="preserve"> perspectives on recent developments on access to smart meter data?</w:t>
            </w:r>
          </w:p>
        </w:tc>
        <w:tc>
          <w:tcPr>
            <w:tcW w:w="5198" w:type="dxa"/>
          </w:tcPr>
          <w:p w14:paraId="6256004D" w14:textId="77777777" w:rsidR="00D23157" w:rsidRPr="00B14372" w:rsidRDefault="00D23157" w:rsidP="00F24F95">
            <w:pPr>
              <w:rPr>
                <w:rFonts w:ascii="Arial" w:hAnsi="Arial" w:cs="Arial"/>
              </w:rPr>
            </w:pPr>
          </w:p>
        </w:tc>
      </w:tr>
      <w:tr w:rsidR="00E00C81" w:rsidRPr="00A20FD9" w14:paraId="2AEB84B1" w14:textId="77777777" w:rsidTr="00F24F95">
        <w:trPr>
          <w:cnfStyle w:val="000000100000" w:firstRow="0" w:lastRow="0" w:firstColumn="0" w:lastColumn="0" w:oddVBand="0" w:evenVBand="0" w:oddHBand="1" w:evenHBand="0" w:firstRowFirstColumn="0" w:firstRowLastColumn="0" w:lastRowFirstColumn="0" w:lastRowLastColumn="0"/>
        </w:trPr>
        <w:tc>
          <w:tcPr>
            <w:tcW w:w="3828" w:type="dxa"/>
          </w:tcPr>
          <w:p w14:paraId="477C5E64" w14:textId="0D16D4DC" w:rsidR="00E00C81" w:rsidRPr="00B14372" w:rsidRDefault="00E00C81" w:rsidP="00C221FF">
            <w:pPr>
              <w:spacing w:before="120" w:after="120" w:line="276" w:lineRule="auto"/>
              <w:rPr>
                <w:rFonts w:ascii="Arial" w:hAnsi="Arial" w:cs="Arial"/>
              </w:rPr>
            </w:pPr>
            <w:r w:rsidRPr="00B14372">
              <w:rPr>
                <w:rFonts w:ascii="Arial" w:hAnsi="Arial" w:cs="Arial"/>
              </w:rPr>
              <w:t>Q</w:t>
            </w:r>
            <w:r w:rsidR="001074EB" w:rsidRPr="00B14372">
              <w:rPr>
                <w:rFonts w:ascii="Arial" w:hAnsi="Arial" w:cs="Arial"/>
              </w:rPr>
              <w:t>9</w:t>
            </w:r>
            <w:r w:rsidRPr="00B14372">
              <w:rPr>
                <w:rFonts w:ascii="Arial" w:hAnsi="Arial" w:cs="Arial"/>
              </w:rPr>
              <w:t>. Is the pace of distributor progress on developing the capability needed to support work on improving network visibility appropriate? If not, what are your expectations regarding timeframes?</w:t>
            </w:r>
          </w:p>
        </w:tc>
        <w:tc>
          <w:tcPr>
            <w:tcW w:w="5198" w:type="dxa"/>
          </w:tcPr>
          <w:p w14:paraId="093E0251" w14:textId="77777777" w:rsidR="00E00C81" w:rsidRPr="00B14372" w:rsidRDefault="00E00C81" w:rsidP="00F24F95">
            <w:pPr>
              <w:rPr>
                <w:rFonts w:ascii="Arial" w:hAnsi="Arial" w:cs="Arial"/>
              </w:rPr>
            </w:pPr>
          </w:p>
        </w:tc>
      </w:tr>
      <w:tr w:rsidR="00D23157" w:rsidRPr="00A20FD9" w14:paraId="647AAEBC" w14:textId="77777777" w:rsidTr="00F24F95">
        <w:trPr>
          <w:cnfStyle w:val="000000010000" w:firstRow="0" w:lastRow="0" w:firstColumn="0" w:lastColumn="0" w:oddVBand="0" w:evenVBand="0" w:oddHBand="0" w:evenHBand="1" w:firstRowFirstColumn="0" w:firstRowLastColumn="0" w:lastRowFirstColumn="0" w:lastRowLastColumn="0"/>
        </w:trPr>
        <w:tc>
          <w:tcPr>
            <w:tcW w:w="3828" w:type="dxa"/>
          </w:tcPr>
          <w:p w14:paraId="48CC4B5E" w14:textId="62C0C3B9" w:rsidR="00D23157" w:rsidRPr="00B14372" w:rsidRDefault="00E03CC4" w:rsidP="00C221FF">
            <w:pPr>
              <w:spacing w:before="120" w:after="120" w:line="276" w:lineRule="auto"/>
              <w:rPr>
                <w:rFonts w:ascii="Arial" w:eastAsia="Arial" w:hAnsi="Arial" w:cs="Arial"/>
              </w:rPr>
            </w:pPr>
            <w:r w:rsidRPr="00B14372">
              <w:rPr>
                <w:rFonts w:ascii="Arial" w:hAnsi="Arial" w:cs="Arial"/>
              </w:rPr>
              <w:t>Q</w:t>
            </w:r>
            <w:r w:rsidR="00210AB9" w:rsidRPr="00B14372">
              <w:rPr>
                <w:rFonts w:ascii="Arial" w:hAnsi="Arial" w:cs="Arial"/>
              </w:rPr>
              <w:t>10</w:t>
            </w:r>
            <w:r w:rsidRPr="00B14372">
              <w:rPr>
                <w:rFonts w:ascii="Arial" w:hAnsi="Arial" w:cs="Arial"/>
              </w:rPr>
              <w:t xml:space="preserve">. </w:t>
            </w:r>
            <w:r w:rsidR="00684A2D" w:rsidRPr="00B14372">
              <w:rPr>
                <w:rFonts w:ascii="Arial" w:hAnsi="Arial" w:cs="Arial"/>
              </w:rPr>
              <w:t>What are the barriers and costs</w:t>
            </w:r>
            <w:r w:rsidR="00A12332" w:rsidRPr="00B14372">
              <w:rPr>
                <w:rFonts w:ascii="Arial" w:hAnsi="Arial" w:cs="Arial"/>
              </w:rPr>
              <w:t xml:space="preserve"> to distributors</w:t>
            </w:r>
            <w:r w:rsidR="00684A2D" w:rsidRPr="00B14372">
              <w:rPr>
                <w:rFonts w:ascii="Arial" w:hAnsi="Arial" w:cs="Arial"/>
              </w:rPr>
              <w:t xml:space="preserve"> in </w:t>
            </w:r>
            <w:r w:rsidR="00336AFB" w:rsidRPr="00B14372">
              <w:rPr>
                <w:rFonts w:ascii="Arial" w:hAnsi="Arial" w:cs="Arial"/>
              </w:rPr>
              <w:t>developing the capability needed to support work on improving network visibility faster</w:t>
            </w:r>
            <w:r w:rsidR="00E33016" w:rsidRPr="00B14372">
              <w:rPr>
                <w:rFonts w:ascii="Arial" w:hAnsi="Arial" w:cs="Arial"/>
              </w:rPr>
              <w:t>?</w:t>
            </w:r>
          </w:p>
        </w:tc>
        <w:tc>
          <w:tcPr>
            <w:tcW w:w="5198" w:type="dxa"/>
          </w:tcPr>
          <w:p w14:paraId="607430A2" w14:textId="77777777" w:rsidR="00D23157" w:rsidRPr="00B14372" w:rsidRDefault="00D23157" w:rsidP="00F24F95">
            <w:pPr>
              <w:rPr>
                <w:rFonts w:ascii="Arial" w:hAnsi="Arial" w:cs="Arial"/>
              </w:rPr>
            </w:pPr>
          </w:p>
        </w:tc>
      </w:tr>
      <w:tr w:rsidR="00210AB9" w:rsidRPr="00A20FD9" w14:paraId="02340483" w14:textId="77777777" w:rsidTr="00F24F95">
        <w:trPr>
          <w:cnfStyle w:val="000000100000" w:firstRow="0" w:lastRow="0" w:firstColumn="0" w:lastColumn="0" w:oddVBand="0" w:evenVBand="0" w:oddHBand="1" w:evenHBand="0" w:firstRowFirstColumn="0" w:firstRowLastColumn="0" w:lastRowFirstColumn="0" w:lastRowLastColumn="0"/>
        </w:trPr>
        <w:tc>
          <w:tcPr>
            <w:tcW w:w="3828" w:type="dxa"/>
          </w:tcPr>
          <w:p w14:paraId="0AF8E1C7" w14:textId="3BDC2701" w:rsidR="00210AB9" w:rsidRPr="00B14372" w:rsidRDefault="0007528B" w:rsidP="00C221FF">
            <w:pPr>
              <w:spacing w:before="120" w:after="120" w:line="276" w:lineRule="auto"/>
              <w:rPr>
                <w:rFonts w:ascii="Arial" w:hAnsi="Arial" w:cs="Arial"/>
              </w:rPr>
            </w:pPr>
            <w:r w:rsidRPr="00B14372">
              <w:rPr>
                <w:rFonts w:ascii="Arial" w:hAnsi="Arial" w:cs="Arial"/>
              </w:rPr>
              <w:t>Q11. Do you agree that distributors having a better understanding of network capacity/constraints and publishing this information in an easily accessible way is in the long-term interest of consumers?</w:t>
            </w:r>
          </w:p>
        </w:tc>
        <w:tc>
          <w:tcPr>
            <w:tcW w:w="5198" w:type="dxa"/>
          </w:tcPr>
          <w:p w14:paraId="08FA379C" w14:textId="77777777" w:rsidR="00210AB9" w:rsidRPr="00B14372" w:rsidRDefault="00210AB9" w:rsidP="00F24F95">
            <w:pPr>
              <w:rPr>
                <w:rFonts w:ascii="Arial" w:hAnsi="Arial" w:cs="Arial"/>
              </w:rPr>
            </w:pPr>
          </w:p>
        </w:tc>
      </w:tr>
      <w:tr w:rsidR="00920879" w:rsidRPr="00A20FD9" w14:paraId="11F28882" w14:textId="77777777" w:rsidTr="00F24F95">
        <w:trPr>
          <w:cnfStyle w:val="000000010000" w:firstRow="0" w:lastRow="0" w:firstColumn="0" w:lastColumn="0" w:oddVBand="0" w:evenVBand="0" w:oddHBand="0" w:evenHBand="1" w:firstRowFirstColumn="0" w:firstRowLastColumn="0" w:lastRowFirstColumn="0" w:lastRowLastColumn="0"/>
        </w:trPr>
        <w:tc>
          <w:tcPr>
            <w:tcW w:w="3828" w:type="dxa"/>
          </w:tcPr>
          <w:p w14:paraId="728C2FD2" w14:textId="0B602B17" w:rsidR="00920879" w:rsidRPr="00B14372" w:rsidRDefault="002D78C7" w:rsidP="00C221FF">
            <w:pPr>
              <w:spacing w:before="120" w:after="120" w:line="276" w:lineRule="auto"/>
              <w:rPr>
                <w:rFonts w:ascii="Arial" w:hAnsi="Arial" w:cs="Arial"/>
              </w:rPr>
            </w:pPr>
            <w:r w:rsidRPr="00B14372">
              <w:rPr>
                <w:rFonts w:ascii="Arial" w:hAnsi="Arial" w:cs="Arial"/>
              </w:rPr>
              <w:t xml:space="preserve">Q12. </w:t>
            </w:r>
            <w:r w:rsidR="003D35E8" w:rsidRPr="00B14372">
              <w:rPr>
                <w:rFonts w:ascii="Arial" w:hAnsi="Arial" w:cs="Arial"/>
              </w:rPr>
              <w:t>Do you consider that</w:t>
            </w:r>
            <w:r w:rsidRPr="00B14372">
              <w:rPr>
                <w:rFonts w:ascii="Arial" w:hAnsi="Arial" w:cs="Arial"/>
              </w:rPr>
              <w:t xml:space="preserve"> there </w:t>
            </w:r>
            <w:r w:rsidR="003D35E8" w:rsidRPr="00B14372">
              <w:rPr>
                <w:rFonts w:ascii="Arial" w:hAnsi="Arial" w:cs="Arial"/>
              </w:rPr>
              <w:t xml:space="preserve">is </w:t>
            </w:r>
            <w:r w:rsidRPr="00B14372">
              <w:rPr>
                <w:rFonts w:ascii="Arial" w:hAnsi="Arial" w:cs="Arial"/>
              </w:rPr>
              <w:t>a case for further regulatory intervention to further improve progress and the quality (e.g. timeliness, granularity, format standardisation) of disclosures that improve network visibility?</w:t>
            </w:r>
          </w:p>
        </w:tc>
        <w:tc>
          <w:tcPr>
            <w:tcW w:w="5198" w:type="dxa"/>
          </w:tcPr>
          <w:p w14:paraId="07137EC2" w14:textId="77777777" w:rsidR="00920879" w:rsidRPr="00B14372" w:rsidRDefault="00920879" w:rsidP="00F24F95">
            <w:pPr>
              <w:rPr>
                <w:rFonts w:ascii="Arial" w:hAnsi="Arial" w:cs="Arial"/>
              </w:rPr>
            </w:pPr>
          </w:p>
        </w:tc>
      </w:tr>
      <w:tr w:rsidR="0096444D" w:rsidRPr="00A20FD9" w14:paraId="397B92B2" w14:textId="77777777" w:rsidTr="00F24F95">
        <w:trPr>
          <w:cnfStyle w:val="000000100000" w:firstRow="0" w:lastRow="0" w:firstColumn="0" w:lastColumn="0" w:oddVBand="0" w:evenVBand="0" w:oddHBand="1" w:evenHBand="0" w:firstRowFirstColumn="0" w:firstRowLastColumn="0" w:lastRowFirstColumn="0" w:lastRowLastColumn="0"/>
        </w:trPr>
        <w:tc>
          <w:tcPr>
            <w:tcW w:w="3828" w:type="dxa"/>
          </w:tcPr>
          <w:p w14:paraId="05EAE785" w14:textId="58F12F3D" w:rsidR="0096444D" w:rsidRPr="00B14372" w:rsidRDefault="00E03CC4" w:rsidP="00C221FF">
            <w:pPr>
              <w:spacing w:before="120" w:after="120" w:line="276" w:lineRule="auto"/>
              <w:rPr>
                <w:rFonts w:ascii="Arial" w:hAnsi="Arial" w:cs="Arial"/>
              </w:rPr>
            </w:pPr>
            <w:r w:rsidRPr="00B14372">
              <w:rPr>
                <w:rFonts w:ascii="Arial" w:hAnsi="Arial" w:cs="Arial"/>
              </w:rPr>
              <w:t>Q1</w:t>
            </w:r>
            <w:r w:rsidR="003D35E8" w:rsidRPr="00B14372">
              <w:rPr>
                <w:rFonts w:ascii="Arial" w:hAnsi="Arial" w:cs="Arial"/>
              </w:rPr>
              <w:t>3</w:t>
            </w:r>
            <w:r w:rsidRPr="00B14372">
              <w:rPr>
                <w:rFonts w:ascii="Arial" w:hAnsi="Arial" w:cs="Arial"/>
              </w:rPr>
              <w:t xml:space="preserve">. </w:t>
            </w:r>
            <w:r w:rsidR="00D414BB" w:rsidRPr="00B14372">
              <w:rPr>
                <w:rFonts w:ascii="Arial" w:hAnsi="Arial" w:cs="Arial"/>
              </w:rPr>
              <w:t xml:space="preserve">Do you consider that measures </w:t>
            </w:r>
            <w:r w:rsidR="0076579D" w:rsidRPr="00B14372">
              <w:rPr>
                <w:rFonts w:ascii="Arial" w:hAnsi="Arial" w:cs="Arial"/>
              </w:rPr>
              <w:t>are needed</w:t>
            </w:r>
            <w:r w:rsidR="00D414BB" w:rsidRPr="00B14372">
              <w:rPr>
                <w:rFonts w:ascii="Arial" w:hAnsi="Arial" w:cs="Arial"/>
              </w:rPr>
              <w:t xml:space="preserve"> to improve awareness of and encourage use of network visibility disclosures by </w:t>
            </w:r>
            <w:r w:rsidR="00BE4DF3" w:rsidRPr="00B14372">
              <w:rPr>
                <w:rFonts w:ascii="Arial" w:hAnsi="Arial" w:cs="Arial"/>
              </w:rPr>
              <w:t>interested parties</w:t>
            </w:r>
            <w:r w:rsidR="00D414BB" w:rsidRPr="00B14372">
              <w:rPr>
                <w:rFonts w:ascii="Arial" w:hAnsi="Arial" w:cs="Arial"/>
              </w:rPr>
              <w:t>?</w:t>
            </w:r>
          </w:p>
        </w:tc>
        <w:tc>
          <w:tcPr>
            <w:tcW w:w="5198" w:type="dxa"/>
          </w:tcPr>
          <w:p w14:paraId="1FC090B1" w14:textId="77777777" w:rsidR="0096444D" w:rsidRPr="00B14372" w:rsidRDefault="0096444D" w:rsidP="00F24F95">
            <w:pPr>
              <w:rPr>
                <w:rFonts w:ascii="Arial" w:hAnsi="Arial" w:cs="Arial"/>
              </w:rPr>
            </w:pPr>
          </w:p>
        </w:tc>
      </w:tr>
      <w:tr w:rsidR="00996186" w:rsidRPr="00A20FD9" w14:paraId="3D144998" w14:textId="77777777" w:rsidTr="00F24F95">
        <w:trPr>
          <w:cnfStyle w:val="000000010000" w:firstRow="0" w:lastRow="0" w:firstColumn="0" w:lastColumn="0" w:oddVBand="0" w:evenVBand="0" w:oddHBand="0" w:evenHBand="1" w:firstRowFirstColumn="0" w:firstRowLastColumn="0" w:lastRowFirstColumn="0" w:lastRowLastColumn="0"/>
        </w:trPr>
        <w:tc>
          <w:tcPr>
            <w:tcW w:w="3828" w:type="dxa"/>
          </w:tcPr>
          <w:p w14:paraId="1EDA1B86" w14:textId="48C19ED5" w:rsidR="00E33016" w:rsidRPr="00B14372" w:rsidRDefault="00E03CC4" w:rsidP="00C221FF">
            <w:pPr>
              <w:spacing w:before="120" w:after="120" w:line="276" w:lineRule="auto"/>
              <w:rPr>
                <w:rFonts w:ascii="Arial" w:hAnsi="Arial" w:cs="Arial"/>
              </w:rPr>
            </w:pPr>
            <w:r w:rsidRPr="00B14372">
              <w:rPr>
                <w:rFonts w:ascii="Arial" w:hAnsi="Arial" w:cs="Arial"/>
              </w:rPr>
              <w:t>Q1</w:t>
            </w:r>
            <w:r w:rsidR="00452198" w:rsidRPr="00B14372">
              <w:rPr>
                <w:rFonts w:ascii="Arial" w:hAnsi="Arial" w:cs="Arial"/>
              </w:rPr>
              <w:t>4</w:t>
            </w:r>
            <w:r w:rsidRPr="00B14372">
              <w:rPr>
                <w:rFonts w:ascii="Arial" w:hAnsi="Arial" w:cs="Arial"/>
              </w:rPr>
              <w:t xml:space="preserve">. </w:t>
            </w:r>
            <w:r w:rsidR="00996186" w:rsidRPr="00B14372">
              <w:rPr>
                <w:rFonts w:ascii="Arial" w:hAnsi="Arial" w:cs="Arial"/>
              </w:rPr>
              <w:t>If further work is required to support the development and use of network visibilit</w:t>
            </w:r>
            <w:r w:rsidR="00E33016" w:rsidRPr="00B14372">
              <w:rPr>
                <w:rFonts w:ascii="Arial" w:hAnsi="Arial" w:cs="Arial"/>
              </w:rPr>
              <w:t>y, which approach do you prefer</w:t>
            </w:r>
            <w:r w:rsidR="000F0A24" w:rsidRPr="00B14372">
              <w:rPr>
                <w:rFonts w:ascii="Arial" w:hAnsi="Arial" w:cs="Arial"/>
              </w:rPr>
              <w:t>:</w:t>
            </w:r>
          </w:p>
          <w:p w14:paraId="445659AC" w14:textId="695F8A87" w:rsidR="00996186" w:rsidRPr="00B14372" w:rsidRDefault="0000080E" w:rsidP="00C221FF">
            <w:pPr>
              <w:pStyle w:val="ListParagraph"/>
              <w:numPr>
                <w:ilvl w:val="0"/>
                <w:numId w:val="8"/>
              </w:numPr>
              <w:spacing w:before="120" w:after="120" w:line="276" w:lineRule="auto"/>
              <w:rPr>
                <w:rFonts w:ascii="Arial" w:hAnsi="Arial" w:cs="Arial"/>
              </w:rPr>
            </w:pPr>
            <w:r w:rsidRPr="00B14372">
              <w:rPr>
                <w:rFonts w:ascii="Arial" w:hAnsi="Arial" w:cs="Arial"/>
              </w:rPr>
              <w:t xml:space="preserve">developing industry guidance </w:t>
            </w:r>
            <w:r w:rsidR="00D17011" w:rsidRPr="00B14372">
              <w:rPr>
                <w:rFonts w:ascii="Arial" w:hAnsi="Arial" w:cs="Arial"/>
              </w:rPr>
              <w:t xml:space="preserve">or </w:t>
            </w:r>
            <w:r w:rsidRPr="00B14372">
              <w:rPr>
                <w:rFonts w:ascii="Arial" w:hAnsi="Arial" w:cs="Arial"/>
              </w:rPr>
              <w:t>standards</w:t>
            </w:r>
            <w:r w:rsidR="000F0A24" w:rsidRPr="00B14372">
              <w:rPr>
                <w:rFonts w:ascii="Arial" w:hAnsi="Arial" w:cs="Arial"/>
              </w:rPr>
              <w:t>.</w:t>
            </w:r>
          </w:p>
          <w:p w14:paraId="65856194" w14:textId="11525335" w:rsidR="0000080E" w:rsidRPr="00B14372" w:rsidRDefault="00CA3730" w:rsidP="00C221FF">
            <w:pPr>
              <w:pStyle w:val="ListParagraph"/>
              <w:numPr>
                <w:ilvl w:val="0"/>
                <w:numId w:val="8"/>
              </w:numPr>
              <w:spacing w:before="120" w:after="120" w:line="276" w:lineRule="auto"/>
              <w:rPr>
                <w:rFonts w:ascii="Arial" w:hAnsi="Arial" w:cs="Arial"/>
              </w:rPr>
            </w:pPr>
            <w:r w:rsidRPr="00B14372">
              <w:rPr>
                <w:rFonts w:ascii="Arial" w:hAnsi="Arial" w:cs="Arial"/>
              </w:rPr>
              <w:t xml:space="preserve">introducing a regulatory backstop that would codify </w:t>
            </w:r>
            <w:r w:rsidRPr="00B14372">
              <w:rPr>
                <w:rFonts w:ascii="Arial" w:hAnsi="Arial" w:cs="Arial"/>
              </w:rPr>
              <w:lastRenderedPageBreak/>
              <w:t>the industry guidance or standards</w:t>
            </w:r>
            <w:r w:rsidR="000F0A24" w:rsidRPr="00B14372">
              <w:rPr>
                <w:rFonts w:ascii="Arial" w:hAnsi="Arial" w:cs="Arial"/>
              </w:rPr>
              <w:t>.</w:t>
            </w:r>
            <w:r w:rsidRPr="00B14372">
              <w:rPr>
                <w:rFonts w:ascii="Arial" w:hAnsi="Arial" w:cs="Arial"/>
              </w:rPr>
              <w:t xml:space="preserve"> </w:t>
            </w:r>
          </w:p>
          <w:p w14:paraId="0A42A474" w14:textId="77777777" w:rsidR="00CA3730" w:rsidRPr="00B14372" w:rsidRDefault="00FA6BAD" w:rsidP="00C221FF">
            <w:pPr>
              <w:pStyle w:val="ListParagraph"/>
              <w:numPr>
                <w:ilvl w:val="0"/>
                <w:numId w:val="8"/>
              </w:numPr>
              <w:spacing w:before="120" w:after="120" w:line="276" w:lineRule="auto"/>
              <w:rPr>
                <w:rFonts w:ascii="Arial" w:hAnsi="Arial" w:cs="Arial"/>
              </w:rPr>
            </w:pPr>
            <w:r w:rsidRPr="00B14372">
              <w:rPr>
                <w:rFonts w:ascii="Arial" w:hAnsi="Arial" w:cs="Arial"/>
              </w:rPr>
              <w:t>developing regulatory standards and timeframes for improving network visibility.</w:t>
            </w:r>
          </w:p>
          <w:p w14:paraId="74E7E44F" w14:textId="592308FA" w:rsidR="00FA6BAD" w:rsidRPr="00B14372" w:rsidRDefault="00B71930" w:rsidP="00C221FF">
            <w:pPr>
              <w:pStyle w:val="ListParagraph"/>
              <w:numPr>
                <w:ilvl w:val="0"/>
                <w:numId w:val="8"/>
              </w:numPr>
              <w:spacing w:before="120" w:after="120" w:line="276" w:lineRule="auto"/>
              <w:rPr>
                <w:rFonts w:ascii="Arial" w:hAnsi="Arial" w:cs="Arial"/>
              </w:rPr>
            </w:pPr>
            <w:r>
              <w:rPr>
                <w:rFonts w:ascii="Arial" w:hAnsi="Arial" w:cs="Arial"/>
              </w:rPr>
              <w:t>s</w:t>
            </w:r>
            <w:r w:rsidR="00FA6BAD" w:rsidRPr="00B14372">
              <w:rPr>
                <w:rFonts w:ascii="Arial" w:hAnsi="Arial" w:cs="Arial"/>
              </w:rPr>
              <w:t>omething else</w:t>
            </w:r>
            <w:r w:rsidR="000F0A24" w:rsidRPr="00B14372">
              <w:rPr>
                <w:rFonts w:ascii="Arial" w:hAnsi="Arial" w:cs="Arial"/>
              </w:rPr>
              <w:t>.</w:t>
            </w:r>
          </w:p>
        </w:tc>
        <w:tc>
          <w:tcPr>
            <w:tcW w:w="5198" w:type="dxa"/>
          </w:tcPr>
          <w:p w14:paraId="7F2EAF9E" w14:textId="77777777" w:rsidR="00996186" w:rsidRPr="00B14372" w:rsidRDefault="00996186" w:rsidP="00F24F95">
            <w:pPr>
              <w:rPr>
                <w:rFonts w:ascii="Arial" w:hAnsi="Arial" w:cs="Arial"/>
              </w:rPr>
            </w:pPr>
          </w:p>
        </w:tc>
      </w:tr>
      <w:tr w:rsidR="00743FB2" w:rsidRPr="00A20FD9" w14:paraId="604F4791" w14:textId="77777777" w:rsidTr="00F24F95">
        <w:trPr>
          <w:cnfStyle w:val="000000100000" w:firstRow="0" w:lastRow="0" w:firstColumn="0" w:lastColumn="0" w:oddVBand="0" w:evenVBand="0" w:oddHBand="1" w:evenHBand="0" w:firstRowFirstColumn="0" w:firstRowLastColumn="0" w:lastRowFirstColumn="0" w:lastRowLastColumn="0"/>
        </w:trPr>
        <w:tc>
          <w:tcPr>
            <w:tcW w:w="3828" w:type="dxa"/>
          </w:tcPr>
          <w:p w14:paraId="34B293B9" w14:textId="161074B0" w:rsidR="00743FB2" w:rsidRPr="00B14372" w:rsidRDefault="00806960" w:rsidP="00C221FF">
            <w:pPr>
              <w:spacing w:before="120" w:after="120" w:line="276" w:lineRule="auto"/>
              <w:rPr>
                <w:rFonts w:ascii="Arial" w:hAnsi="Arial" w:cs="Arial"/>
              </w:rPr>
            </w:pPr>
            <w:r w:rsidRPr="00B14372">
              <w:rPr>
                <w:rFonts w:ascii="Arial" w:hAnsi="Arial" w:cs="Arial"/>
              </w:rPr>
              <w:t>Q1</w:t>
            </w:r>
            <w:r w:rsidR="00452198" w:rsidRPr="00B14372">
              <w:rPr>
                <w:rFonts w:ascii="Arial" w:hAnsi="Arial" w:cs="Arial"/>
              </w:rPr>
              <w:t>5</w:t>
            </w:r>
            <w:r w:rsidRPr="00B14372">
              <w:rPr>
                <w:rFonts w:ascii="Arial" w:hAnsi="Arial" w:cs="Arial"/>
              </w:rPr>
              <w:t xml:space="preserve">. </w:t>
            </w:r>
            <w:r w:rsidR="00743FB2" w:rsidRPr="00B14372">
              <w:rPr>
                <w:rFonts w:ascii="Arial" w:hAnsi="Arial" w:cs="Arial"/>
              </w:rPr>
              <w:t xml:space="preserve">Do you support </w:t>
            </w:r>
            <w:r w:rsidR="00B7792A" w:rsidRPr="00B14372">
              <w:rPr>
                <w:rFonts w:ascii="Arial" w:hAnsi="Arial" w:cs="Arial"/>
              </w:rPr>
              <w:t>an approach that focuses on high-voltage networks first, or do you have another preference?</w:t>
            </w:r>
          </w:p>
        </w:tc>
        <w:tc>
          <w:tcPr>
            <w:tcW w:w="5198" w:type="dxa"/>
          </w:tcPr>
          <w:p w14:paraId="41D9EC69" w14:textId="77777777" w:rsidR="00743FB2" w:rsidRPr="00B14372" w:rsidRDefault="00743FB2" w:rsidP="00F24F95">
            <w:pPr>
              <w:rPr>
                <w:rFonts w:ascii="Arial" w:hAnsi="Arial" w:cs="Arial"/>
              </w:rPr>
            </w:pPr>
          </w:p>
        </w:tc>
      </w:tr>
      <w:tr w:rsidR="00452198" w:rsidRPr="00A20FD9" w14:paraId="336F6754" w14:textId="77777777" w:rsidTr="00F24F95">
        <w:trPr>
          <w:cnfStyle w:val="000000010000" w:firstRow="0" w:lastRow="0" w:firstColumn="0" w:lastColumn="0" w:oddVBand="0" w:evenVBand="0" w:oddHBand="0" w:evenHBand="1" w:firstRowFirstColumn="0" w:firstRowLastColumn="0" w:lastRowFirstColumn="0" w:lastRowLastColumn="0"/>
        </w:trPr>
        <w:tc>
          <w:tcPr>
            <w:tcW w:w="3828" w:type="dxa"/>
          </w:tcPr>
          <w:p w14:paraId="3E9471AA" w14:textId="357A4126" w:rsidR="00452198" w:rsidRPr="001B4DBE" w:rsidRDefault="00CF7F44" w:rsidP="00901D26">
            <w:pPr>
              <w:spacing w:before="120" w:after="120" w:line="276" w:lineRule="auto"/>
              <w:rPr>
                <w:rFonts w:ascii="Arial" w:hAnsi="Arial" w:cs="Arial"/>
              </w:rPr>
            </w:pPr>
            <w:r w:rsidRPr="001B4DBE">
              <w:rPr>
                <w:rFonts w:ascii="Arial" w:hAnsi="Arial" w:cs="Arial"/>
              </w:rPr>
              <w:t>Q16. What other aspects of international developments relating to network visibility should we be looking at for lessons that could be considered in the New Zealand context?</w:t>
            </w:r>
          </w:p>
        </w:tc>
        <w:tc>
          <w:tcPr>
            <w:tcW w:w="5198" w:type="dxa"/>
          </w:tcPr>
          <w:p w14:paraId="5FD96E75" w14:textId="77777777" w:rsidR="00452198" w:rsidRPr="00B14372" w:rsidRDefault="00452198" w:rsidP="00F24F95">
            <w:pPr>
              <w:rPr>
                <w:rFonts w:ascii="Arial" w:hAnsi="Arial" w:cs="Arial"/>
              </w:rPr>
            </w:pPr>
          </w:p>
        </w:tc>
      </w:tr>
      <w:tr w:rsidR="00CF7F44" w:rsidRPr="00A20FD9" w14:paraId="3A026C8F" w14:textId="77777777" w:rsidTr="00F24F95">
        <w:trPr>
          <w:cnfStyle w:val="000000100000" w:firstRow="0" w:lastRow="0" w:firstColumn="0" w:lastColumn="0" w:oddVBand="0" w:evenVBand="0" w:oddHBand="1" w:evenHBand="0" w:firstRowFirstColumn="0" w:firstRowLastColumn="0" w:lastRowFirstColumn="0" w:lastRowLastColumn="0"/>
        </w:trPr>
        <w:tc>
          <w:tcPr>
            <w:tcW w:w="3828" w:type="dxa"/>
          </w:tcPr>
          <w:p w14:paraId="795654E7" w14:textId="1C6AAB58" w:rsidR="00CF7F44" w:rsidRPr="001B4DBE" w:rsidRDefault="00996BDD" w:rsidP="00901D26">
            <w:pPr>
              <w:spacing w:before="120" w:after="120" w:line="276" w:lineRule="auto"/>
              <w:rPr>
                <w:rFonts w:ascii="Arial" w:hAnsi="Arial" w:cs="Arial"/>
              </w:rPr>
            </w:pPr>
            <w:r w:rsidRPr="001B4DBE">
              <w:rPr>
                <w:rFonts w:ascii="Arial" w:hAnsi="Arial" w:cs="Arial"/>
              </w:rPr>
              <w:t>Q17. Do you consider that metering equipment providers should be required to publish schedules of available data and prices to improve transparency and reduce transaction costs?</w:t>
            </w:r>
          </w:p>
        </w:tc>
        <w:tc>
          <w:tcPr>
            <w:tcW w:w="5198" w:type="dxa"/>
          </w:tcPr>
          <w:p w14:paraId="000424BF" w14:textId="77777777" w:rsidR="00CF7F44" w:rsidRPr="00B14372" w:rsidRDefault="00CF7F44" w:rsidP="00F24F95">
            <w:pPr>
              <w:rPr>
                <w:rFonts w:ascii="Arial" w:hAnsi="Arial" w:cs="Arial"/>
              </w:rPr>
            </w:pPr>
          </w:p>
        </w:tc>
      </w:tr>
      <w:tr w:rsidR="00996BDD" w:rsidRPr="00A20FD9" w14:paraId="40C218DF" w14:textId="77777777" w:rsidTr="00F24F95">
        <w:trPr>
          <w:cnfStyle w:val="000000010000" w:firstRow="0" w:lastRow="0" w:firstColumn="0" w:lastColumn="0" w:oddVBand="0" w:evenVBand="0" w:oddHBand="0" w:evenHBand="1" w:firstRowFirstColumn="0" w:firstRowLastColumn="0" w:lastRowFirstColumn="0" w:lastRowLastColumn="0"/>
        </w:trPr>
        <w:tc>
          <w:tcPr>
            <w:tcW w:w="3828" w:type="dxa"/>
          </w:tcPr>
          <w:p w14:paraId="474A89E7" w14:textId="1E5882D1" w:rsidR="00996BDD" w:rsidRPr="00B14372" w:rsidRDefault="00745893" w:rsidP="00C221FF">
            <w:pPr>
              <w:spacing w:before="120" w:after="120" w:line="276" w:lineRule="auto"/>
              <w:rPr>
                <w:rFonts w:ascii="Arial" w:hAnsi="Arial" w:cs="Arial"/>
              </w:rPr>
            </w:pPr>
            <w:r w:rsidRPr="00B14372">
              <w:rPr>
                <w:rFonts w:ascii="Arial" w:hAnsi="Arial" w:cs="Arial"/>
              </w:rPr>
              <w:t xml:space="preserve">Q18. </w:t>
            </w:r>
            <w:r w:rsidR="007D06F3" w:rsidRPr="00B14372">
              <w:rPr>
                <w:rFonts w:ascii="Arial" w:hAnsi="Arial" w:cs="Arial"/>
              </w:rPr>
              <w:t xml:space="preserve">Do you consider that </w:t>
            </w:r>
            <w:r w:rsidRPr="00B14372">
              <w:rPr>
                <w:rFonts w:ascii="Arial" w:hAnsi="Arial" w:cs="Arial"/>
              </w:rPr>
              <w:t>elements of</w:t>
            </w:r>
            <w:r w:rsidR="004E264B" w:rsidRPr="00B14372">
              <w:rPr>
                <w:rFonts w:ascii="Arial" w:hAnsi="Arial" w:cs="Arial"/>
              </w:rPr>
              <w:t xml:space="preserve"> </w:t>
            </w:r>
            <w:hyperlink r:id="rId11" w:history="1">
              <w:r w:rsidR="004E264B" w:rsidRPr="00B14372">
                <w:rPr>
                  <w:rStyle w:val="Hyperlink"/>
                  <w:rFonts w:ascii="Arial" w:eastAsiaTheme="minorEastAsia" w:hAnsi="Arial" w:cs="Arial"/>
                  <w:kern w:val="2"/>
                  <w:lang w:eastAsia="zh-CN" w:bidi="th-TH"/>
                  <w14:ligatures w14:val="standardContextual"/>
                </w:rPr>
                <w:t>Part 12A of the Code</w:t>
              </w:r>
            </w:hyperlink>
            <w:r w:rsidR="004E264B" w:rsidRPr="00B14372">
              <w:rPr>
                <w:rFonts w:ascii="Arial" w:hAnsi="Arial" w:cs="Arial"/>
              </w:rPr>
              <w:t xml:space="preserve"> relating to default distributor agreements should be reinforced or extended to ensure consistent access to both consumption data and other types of data e.g. power quality from smart meters or other devices (such as inverters)?</w:t>
            </w:r>
          </w:p>
        </w:tc>
        <w:tc>
          <w:tcPr>
            <w:tcW w:w="5198" w:type="dxa"/>
          </w:tcPr>
          <w:p w14:paraId="11994A3F" w14:textId="77777777" w:rsidR="00996BDD" w:rsidRPr="00B14372" w:rsidRDefault="00996BDD" w:rsidP="00F24F95">
            <w:pPr>
              <w:rPr>
                <w:rFonts w:ascii="Arial" w:hAnsi="Arial" w:cs="Arial"/>
              </w:rPr>
            </w:pPr>
          </w:p>
        </w:tc>
      </w:tr>
    </w:tbl>
    <w:p w14:paraId="14DECBAD" w14:textId="77777777" w:rsidR="00D23157" w:rsidRPr="00A20FD9" w:rsidRDefault="00D23157"/>
    <w:sectPr w:rsidR="00D23157" w:rsidRPr="00A20FD9">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62C77" w14:textId="77777777" w:rsidR="007908BA" w:rsidRDefault="007908BA" w:rsidP="00D23157">
      <w:pPr>
        <w:spacing w:after="0" w:line="240" w:lineRule="auto"/>
      </w:pPr>
      <w:r>
        <w:separator/>
      </w:r>
    </w:p>
  </w:endnote>
  <w:endnote w:type="continuationSeparator" w:id="0">
    <w:p w14:paraId="09FD3B96" w14:textId="77777777" w:rsidR="007908BA" w:rsidRDefault="007908BA" w:rsidP="00D2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810EE" w14:textId="5FD3E681" w:rsidR="00D23157" w:rsidRDefault="00D23157">
    <w:pPr>
      <w:pStyle w:val="Footer"/>
    </w:pPr>
    <w:r>
      <w:rPr>
        <w:noProof/>
      </w:rPr>
      <mc:AlternateContent>
        <mc:Choice Requires="wps">
          <w:drawing>
            <wp:anchor distT="0" distB="0" distL="0" distR="0" simplePos="0" relativeHeight="251658241" behindDoc="0" locked="0" layoutInCell="1" allowOverlap="1" wp14:anchorId="5F3EDC2C" wp14:editId="019B9340">
              <wp:simplePos x="635" y="635"/>
              <wp:positionH relativeFrom="page">
                <wp:align>center</wp:align>
              </wp:positionH>
              <wp:positionV relativeFrom="page">
                <wp:align>bottom</wp:align>
              </wp:positionV>
              <wp:extent cx="1691005" cy="370205"/>
              <wp:effectExtent l="0" t="0" r="4445" b="0"/>
              <wp:wrapNone/>
              <wp:docPr id="954396929" name="Text Box 2"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1005" cy="370205"/>
                      </a:xfrm>
                      <a:prstGeom prst="rect">
                        <a:avLst/>
                      </a:prstGeom>
                      <a:noFill/>
                      <a:ln>
                        <a:noFill/>
                      </a:ln>
                    </wps:spPr>
                    <wps:txbx>
                      <w:txbxContent>
                        <w:p w14:paraId="17632048" w14:textId="50DA20A1" w:rsidR="00D23157" w:rsidRPr="00D23157" w:rsidRDefault="00D23157" w:rsidP="00D23157">
                          <w:pPr>
                            <w:spacing w:after="0"/>
                            <w:rPr>
                              <w:rFonts w:ascii="Calibri" w:eastAsia="Calibri" w:hAnsi="Calibri" w:cs="Calibri"/>
                              <w:noProof/>
                              <w:color w:val="000000"/>
                              <w:sz w:val="20"/>
                              <w:szCs w:val="20"/>
                            </w:rPr>
                          </w:pPr>
                          <w:r w:rsidRPr="00D23157">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3EDC2C" id="_x0000_t202" coordsize="21600,21600" o:spt="202" path="m,l,21600r21600,l21600,xe">
              <v:stroke joinstyle="miter"/>
              <v:path gradientshapeok="t" o:connecttype="rect"/>
            </v:shapetype>
            <v:shape id="Text Box 2" o:spid="_x0000_s1026" type="#_x0000_t202" alt="IN-CONFIDENCE: ORGANISATION" style="position:absolute;margin-left:0;margin-top:0;width:133.15pt;height:29.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" filled="f" stroked="f">
              <v:textbox style="mso-fit-shape-to-text:t" inset="0,0,0,15pt">
                <w:txbxContent>
                  <w:p w14:paraId="17632048" w14:textId="50DA20A1" w:rsidR="00D23157" w:rsidRPr="00D23157" w:rsidRDefault="00D23157" w:rsidP="00D23157">
                    <w:pPr>
                      <w:spacing w:after="0"/>
                      <w:rPr>
                        <w:rFonts w:ascii="Calibri" w:eastAsia="Calibri" w:hAnsi="Calibri" w:cs="Calibri"/>
                        <w:noProof/>
                        <w:color w:val="000000"/>
                        <w:sz w:val="20"/>
                        <w:szCs w:val="20"/>
                      </w:rPr>
                    </w:pPr>
                    <w:r w:rsidRPr="00D23157">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9D224" w14:textId="0A10DF19" w:rsidR="00D23157" w:rsidRDefault="00D23157">
    <w:pPr>
      <w:pStyle w:val="Footer"/>
    </w:pPr>
    <w:r>
      <w:rPr>
        <w:noProof/>
      </w:rPr>
      <mc:AlternateContent>
        <mc:Choice Requires="wps">
          <w:drawing>
            <wp:anchor distT="0" distB="0" distL="0" distR="0" simplePos="0" relativeHeight="251658242" behindDoc="0" locked="0" layoutInCell="1" allowOverlap="1" wp14:anchorId="444B6526" wp14:editId="03C8F284">
              <wp:simplePos x="914400" y="10058400"/>
              <wp:positionH relativeFrom="page">
                <wp:align>center</wp:align>
              </wp:positionH>
              <wp:positionV relativeFrom="page">
                <wp:align>bottom</wp:align>
              </wp:positionV>
              <wp:extent cx="1691005" cy="370205"/>
              <wp:effectExtent l="0" t="0" r="4445" b="0"/>
              <wp:wrapNone/>
              <wp:docPr id="1988568249" name="Text Box 3"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1005" cy="370205"/>
                      </a:xfrm>
                      <a:prstGeom prst="rect">
                        <a:avLst/>
                      </a:prstGeom>
                      <a:noFill/>
                      <a:ln>
                        <a:noFill/>
                      </a:ln>
                    </wps:spPr>
                    <wps:txbx>
                      <w:txbxContent>
                        <w:p w14:paraId="6612A2FC" w14:textId="5D830BDE" w:rsidR="00D23157" w:rsidRPr="00D23157" w:rsidRDefault="00D23157" w:rsidP="00D23157">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4B6526" id="_x0000_t202" coordsize="21600,21600" o:spt="202" path="m,l,21600r21600,l21600,xe">
              <v:stroke joinstyle="miter"/>
              <v:path gradientshapeok="t" o:connecttype="rect"/>
            </v:shapetype>
            <v:shape id="Text Box 3" o:spid="_x0000_s1027" type="#_x0000_t202" alt="IN-CONFIDENCE: ORGANISATION" style="position:absolute;margin-left:0;margin-top:0;width:133.15pt;height:29.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" filled="f" stroked="f">
              <v:textbox style="mso-fit-shape-to-text:t" inset="0,0,0,15pt">
                <w:txbxContent>
                  <w:p w14:paraId="6612A2FC" w14:textId="5D830BDE" w:rsidR="00D23157" w:rsidRPr="00D23157" w:rsidRDefault="00D23157" w:rsidP="00D23157">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CF429" w14:textId="5899CECB" w:rsidR="00D23157" w:rsidRDefault="00D23157">
    <w:pPr>
      <w:pStyle w:val="Footer"/>
    </w:pPr>
    <w:r>
      <w:rPr>
        <w:noProof/>
      </w:rPr>
      <mc:AlternateContent>
        <mc:Choice Requires="wps">
          <w:drawing>
            <wp:anchor distT="0" distB="0" distL="0" distR="0" simplePos="0" relativeHeight="251658240" behindDoc="0" locked="0" layoutInCell="1" allowOverlap="1" wp14:anchorId="1F9F2CAC" wp14:editId="294685AB">
              <wp:simplePos x="635" y="635"/>
              <wp:positionH relativeFrom="page">
                <wp:align>center</wp:align>
              </wp:positionH>
              <wp:positionV relativeFrom="page">
                <wp:align>bottom</wp:align>
              </wp:positionV>
              <wp:extent cx="1691005" cy="370205"/>
              <wp:effectExtent l="0" t="0" r="4445" b="0"/>
              <wp:wrapNone/>
              <wp:docPr id="1021100847" name="Text Box 1"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1005" cy="370205"/>
                      </a:xfrm>
                      <a:prstGeom prst="rect">
                        <a:avLst/>
                      </a:prstGeom>
                      <a:noFill/>
                      <a:ln>
                        <a:noFill/>
                      </a:ln>
                    </wps:spPr>
                    <wps:txbx>
                      <w:txbxContent>
                        <w:p w14:paraId="766F63C2" w14:textId="2A52FE4B" w:rsidR="00D23157" w:rsidRPr="00D23157" w:rsidRDefault="00D23157" w:rsidP="00D23157">
                          <w:pPr>
                            <w:spacing w:after="0"/>
                            <w:rPr>
                              <w:rFonts w:ascii="Calibri" w:eastAsia="Calibri" w:hAnsi="Calibri" w:cs="Calibri"/>
                              <w:noProof/>
                              <w:color w:val="000000"/>
                              <w:sz w:val="20"/>
                              <w:szCs w:val="20"/>
                            </w:rPr>
                          </w:pPr>
                          <w:r w:rsidRPr="00D23157">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9F2CAC" id="_x0000_t202" coordsize="21600,21600" o:spt="202" path="m,l,21600r21600,l21600,xe">
              <v:stroke joinstyle="miter"/>
              <v:path gradientshapeok="t" o:connecttype="rect"/>
            </v:shapetype>
            <v:shape id="Text Box 1" o:spid="_x0000_s1028" type="#_x0000_t202" alt="IN-CONFIDENCE: ORGANISATION" style="position:absolute;margin-left:0;margin-top:0;width:133.15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" filled="f" stroked="f">
              <v:textbox style="mso-fit-shape-to-text:t" inset="0,0,0,15pt">
                <w:txbxContent>
                  <w:p w14:paraId="766F63C2" w14:textId="2A52FE4B" w:rsidR="00D23157" w:rsidRPr="00D23157" w:rsidRDefault="00D23157" w:rsidP="00D23157">
                    <w:pPr>
                      <w:spacing w:after="0"/>
                      <w:rPr>
                        <w:rFonts w:ascii="Calibri" w:eastAsia="Calibri" w:hAnsi="Calibri" w:cs="Calibri"/>
                        <w:noProof/>
                        <w:color w:val="000000"/>
                        <w:sz w:val="20"/>
                        <w:szCs w:val="20"/>
                      </w:rPr>
                    </w:pPr>
                    <w:r w:rsidRPr="00D23157">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41A46" w14:textId="77777777" w:rsidR="007908BA" w:rsidRDefault="007908BA" w:rsidP="00D23157">
      <w:pPr>
        <w:spacing w:after="0" w:line="240" w:lineRule="auto"/>
      </w:pPr>
      <w:r>
        <w:separator/>
      </w:r>
    </w:p>
  </w:footnote>
  <w:footnote w:type="continuationSeparator" w:id="0">
    <w:p w14:paraId="5FF1E335" w14:textId="77777777" w:rsidR="007908BA" w:rsidRDefault="007908BA" w:rsidP="00D23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092"/>
    <w:multiLevelType w:val="hybridMultilevel"/>
    <w:tmpl w:val="A94668FC"/>
    <w:lvl w:ilvl="0" w:tplc="1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5F3954"/>
    <w:multiLevelType w:val="hybridMultilevel"/>
    <w:tmpl w:val="2932E3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E61552"/>
    <w:multiLevelType w:val="hybridMultilevel"/>
    <w:tmpl w:val="3BFC95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A434A8"/>
    <w:multiLevelType w:val="hybridMultilevel"/>
    <w:tmpl w:val="A94668F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BF0548"/>
    <w:multiLevelType w:val="hybridMultilevel"/>
    <w:tmpl w:val="A94668F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232D1B"/>
    <w:multiLevelType w:val="hybridMultilevel"/>
    <w:tmpl w:val="A94668F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A66394"/>
    <w:multiLevelType w:val="hybridMultilevel"/>
    <w:tmpl w:val="01209F6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9C84815"/>
    <w:multiLevelType w:val="hybridMultilevel"/>
    <w:tmpl w:val="2932E33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92981644">
    <w:abstractNumId w:val="2"/>
  </w:num>
  <w:num w:numId="2" w16cid:durableId="65803495">
    <w:abstractNumId w:val="6"/>
  </w:num>
  <w:num w:numId="3" w16cid:durableId="1492721368">
    <w:abstractNumId w:val="7"/>
  </w:num>
  <w:num w:numId="4" w16cid:durableId="36515768">
    <w:abstractNumId w:val="0"/>
  </w:num>
  <w:num w:numId="5" w16cid:durableId="2126654024">
    <w:abstractNumId w:val="1"/>
  </w:num>
  <w:num w:numId="6" w16cid:durableId="938684074">
    <w:abstractNumId w:val="4"/>
  </w:num>
  <w:num w:numId="7" w16cid:durableId="1546332603">
    <w:abstractNumId w:val="3"/>
  </w:num>
  <w:num w:numId="8" w16cid:durableId="226645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57"/>
    <w:rsid w:val="0000080E"/>
    <w:rsid w:val="00021375"/>
    <w:rsid w:val="00025221"/>
    <w:rsid w:val="00035BBC"/>
    <w:rsid w:val="000442C0"/>
    <w:rsid w:val="0007528B"/>
    <w:rsid w:val="00080B14"/>
    <w:rsid w:val="00087204"/>
    <w:rsid w:val="000A4832"/>
    <w:rsid w:val="000D2419"/>
    <w:rsid w:val="000E60BF"/>
    <w:rsid w:val="000F0A24"/>
    <w:rsid w:val="001074EB"/>
    <w:rsid w:val="00152A1D"/>
    <w:rsid w:val="00176E6D"/>
    <w:rsid w:val="001A278B"/>
    <w:rsid w:val="001B0529"/>
    <w:rsid w:val="001B4DBE"/>
    <w:rsid w:val="00210AB9"/>
    <w:rsid w:val="00224A33"/>
    <w:rsid w:val="00230416"/>
    <w:rsid w:val="0023135E"/>
    <w:rsid w:val="00294368"/>
    <w:rsid w:val="00295FEA"/>
    <w:rsid w:val="002A10F9"/>
    <w:rsid w:val="002A3A9D"/>
    <w:rsid w:val="002A5AA5"/>
    <w:rsid w:val="002B5801"/>
    <w:rsid w:val="002C49E8"/>
    <w:rsid w:val="002C776F"/>
    <w:rsid w:val="002D78C7"/>
    <w:rsid w:val="002E1007"/>
    <w:rsid w:val="00326B67"/>
    <w:rsid w:val="00331B76"/>
    <w:rsid w:val="00336AFB"/>
    <w:rsid w:val="003B1240"/>
    <w:rsid w:val="003C0837"/>
    <w:rsid w:val="003D35E8"/>
    <w:rsid w:val="003E137F"/>
    <w:rsid w:val="00432905"/>
    <w:rsid w:val="004372C2"/>
    <w:rsid w:val="00452198"/>
    <w:rsid w:val="00452F12"/>
    <w:rsid w:val="00456F97"/>
    <w:rsid w:val="00465D2E"/>
    <w:rsid w:val="004806E8"/>
    <w:rsid w:val="004965F7"/>
    <w:rsid w:val="004E264B"/>
    <w:rsid w:val="0051438D"/>
    <w:rsid w:val="00525FA0"/>
    <w:rsid w:val="00556523"/>
    <w:rsid w:val="00562DC4"/>
    <w:rsid w:val="00572E9F"/>
    <w:rsid w:val="005C5938"/>
    <w:rsid w:val="005D30C2"/>
    <w:rsid w:val="005E3432"/>
    <w:rsid w:val="005E6F57"/>
    <w:rsid w:val="006114E3"/>
    <w:rsid w:val="0064546E"/>
    <w:rsid w:val="00684A2D"/>
    <w:rsid w:val="006919D0"/>
    <w:rsid w:val="0069465D"/>
    <w:rsid w:val="00697F43"/>
    <w:rsid w:val="00727DA7"/>
    <w:rsid w:val="00743FB2"/>
    <w:rsid w:val="00745893"/>
    <w:rsid w:val="0076155B"/>
    <w:rsid w:val="0076579D"/>
    <w:rsid w:val="007908BA"/>
    <w:rsid w:val="007A32E2"/>
    <w:rsid w:val="007B44D1"/>
    <w:rsid w:val="007B7C4C"/>
    <w:rsid w:val="007C5CFB"/>
    <w:rsid w:val="007D06CB"/>
    <w:rsid w:val="007D06F3"/>
    <w:rsid w:val="00806960"/>
    <w:rsid w:val="008633CE"/>
    <w:rsid w:val="008E5D88"/>
    <w:rsid w:val="00901D26"/>
    <w:rsid w:val="00920879"/>
    <w:rsid w:val="00926DB6"/>
    <w:rsid w:val="00940B55"/>
    <w:rsid w:val="0096444D"/>
    <w:rsid w:val="0099125C"/>
    <w:rsid w:val="00996186"/>
    <w:rsid w:val="00996BDD"/>
    <w:rsid w:val="009A513C"/>
    <w:rsid w:val="009B5AAE"/>
    <w:rsid w:val="009E1496"/>
    <w:rsid w:val="009E7C2B"/>
    <w:rsid w:val="00A12332"/>
    <w:rsid w:val="00A20FD9"/>
    <w:rsid w:val="00A265F0"/>
    <w:rsid w:val="00A44344"/>
    <w:rsid w:val="00A53189"/>
    <w:rsid w:val="00AA7362"/>
    <w:rsid w:val="00AB0D09"/>
    <w:rsid w:val="00B075D4"/>
    <w:rsid w:val="00B14372"/>
    <w:rsid w:val="00B15905"/>
    <w:rsid w:val="00B34D7A"/>
    <w:rsid w:val="00B63675"/>
    <w:rsid w:val="00B71930"/>
    <w:rsid w:val="00B7792A"/>
    <w:rsid w:val="00B80C87"/>
    <w:rsid w:val="00BA3360"/>
    <w:rsid w:val="00BE3B42"/>
    <w:rsid w:val="00BE4DF3"/>
    <w:rsid w:val="00BE7CEA"/>
    <w:rsid w:val="00C221FF"/>
    <w:rsid w:val="00C41D96"/>
    <w:rsid w:val="00C71760"/>
    <w:rsid w:val="00C85416"/>
    <w:rsid w:val="00C9459B"/>
    <w:rsid w:val="00CA3730"/>
    <w:rsid w:val="00CA606D"/>
    <w:rsid w:val="00CC6BF9"/>
    <w:rsid w:val="00CF69D0"/>
    <w:rsid w:val="00CF7F44"/>
    <w:rsid w:val="00D1239E"/>
    <w:rsid w:val="00D17011"/>
    <w:rsid w:val="00D23157"/>
    <w:rsid w:val="00D414BB"/>
    <w:rsid w:val="00D54EB3"/>
    <w:rsid w:val="00D75973"/>
    <w:rsid w:val="00D97A9F"/>
    <w:rsid w:val="00DB672B"/>
    <w:rsid w:val="00E005FA"/>
    <w:rsid w:val="00E00C81"/>
    <w:rsid w:val="00E03CC4"/>
    <w:rsid w:val="00E04F71"/>
    <w:rsid w:val="00E33016"/>
    <w:rsid w:val="00E4216A"/>
    <w:rsid w:val="00E915FF"/>
    <w:rsid w:val="00E9736F"/>
    <w:rsid w:val="00E9751E"/>
    <w:rsid w:val="00EB2009"/>
    <w:rsid w:val="00EB679E"/>
    <w:rsid w:val="00EF559D"/>
    <w:rsid w:val="00F05E70"/>
    <w:rsid w:val="00F710F5"/>
    <w:rsid w:val="00F72BE4"/>
    <w:rsid w:val="00F82212"/>
    <w:rsid w:val="00F82D5D"/>
    <w:rsid w:val="00F9677B"/>
    <w:rsid w:val="00FA6BAD"/>
    <w:rsid w:val="00FB22F6"/>
    <w:rsid w:val="00FD3A8C"/>
    <w:rsid w:val="00FE6A84"/>
    <w:rsid w:val="00FF235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6AB13"/>
  <w15:chartTrackingRefBased/>
  <w15:docId w15:val="{C3193BFB-4315-4CF2-AA37-D560E97E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15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D2315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D23157"/>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D231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1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1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1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1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1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157"/>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D23157"/>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D23157"/>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D231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1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1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1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1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157"/>
    <w:rPr>
      <w:rFonts w:eastAsiaTheme="majorEastAsia" w:cstheme="majorBidi"/>
      <w:color w:val="272727" w:themeColor="text1" w:themeTint="D8"/>
    </w:rPr>
  </w:style>
  <w:style w:type="paragraph" w:styleId="Title">
    <w:name w:val="Title"/>
    <w:basedOn w:val="Normal"/>
    <w:next w:val="Normal"/>
    <w:link w:val="TitleChar"/>
    <w:uiPriority w:val="10"/>
    <w:qFormat/>
    <w:rsid w:val="00D23157"/>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D2315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23157"/>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D23157"/>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23157"/>
    <w:pPr>
      <w:spacing w:before="160"/>
      <w:jc w:val="center"/>
    </w:pPr>
    <w:rPr>
      <w:i/>
      <w:iCs/>
      <w:color w:val="404040" w:themeColor="text1" w:themeTint="BF"/>
    </w:rPr>
  </w:style>
  <w:style w:type="character" w:customStyle="1" w:styleId="QuoteChar">
    <w:name w:val="Quote Char"/>
    <w:basedOn w:val="DefaultParagraphFont"/>
    <w:link w:val="Quote"/>
    <w:uiPriority w:val="29"/>
    <w:rsid w:val="00D23157"/>
    <w:rPr>
      <w:i/>
      <w:iCs/>
      <w:color w:val="404040" w:themeColor="text1" w:themeTint="BF"/>
    </w:rPr>
  </w:style>
  <w:style w:type="paragraph" w:styleId="ListParagraph">
    <w:name w:val="List Paragraph"/>
    <w:basedOn w:val="Normal"/>
    <w:uiPriority w:val="34"/>
    <w:qFormat/>
    <w:rsid w:val="00D23157"/>
    <w:pPr>
      <w:ind w:left="720"/>
      <w:contextualSpacing/>
    </w:pPr>
  </w:style>
  <w:style w:type="character" w:styleId="IntenseEmphasis">
    <w:name w:val="Intense Emphasis"/>
    <w:basedOn w:val="DefaultParagraphFont"/>
    <w:uiPriority w:val="21"/>
    <w:qFormat/>
    <w:rsid w:val="00D23157"/>
    <w:rPr>
      <w:i/>
      <w:iCs/>
      <w:color w:val="0F4761" w:themeColor="accent1" w:themeShade="BF"/>
    </w:rPr>
  </w:style>
  <w:style w:type="paragraph" w:styleId="IntenseQuote">
    <w:name w:val="Intense Quote"/>
    <w:basedOn w:val="Normal"/>
    <w:next w:val="Normal"/>
    <w:link w:val="IntenseQuoteChar"/>
    <w:uiPriority w:val="30"/>
    <w:qFormat/>
    <w:rsid w:val="00D23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157"/>
    <w:rPr>
      <w:i/>
      <w:iCs/>
      <w:color w:val="0F4761" w:themeColor="accent1" w:themeShade="BF"/>
    </w:rPr>
  </w:style>
  <w:style w:type="character" w:styleId="IntenseReference">
    <w:name w:val="Intense Reference"/>
    <w:basedOn w:val="DefaultParagraphFont"/>
    <w:uiPriority w:val="32"/>
    <w:qFormat/>
    <w:rsid w:val="00D23157"/>
    <w:rPr>
      <w:b/>
      <w:bCs/>
      <w:smallCaps/>
      <w:color w:val="0F4761" w:themeColor="accent1" w:themeShade="BF"/>
      <w:spacing w:val="5"/>
    </w:rPr>
  </w:style>
  <w:style w:type="character" w:styleId="CommentReference">
    <w:name w:val="annotation reference"/>
    <w:basedOn w:val="DefaultParagraphFont"/>
    <w:uiPriority w:val="99"/>
    <w:semiHidden/>
    <w:unhideWhenUsed/>
    <w:rsid w:val="00D23157"/>
    <w:rPr>
      <w:sz w:val="16"/>
      <w:szCs w:val="16"/>
    </w:rPr>
  </w:style>
  <w:style w:type="paragraph" w:styleId="CommentText">
    <w:name w:val="annotation text"/>
    <w:basedOn w:val="Normal"/>
    <w:link w:val="CommentTextChar"/>
    <w:uiPriority w:val="99"/>
    <w:unhideWhenUsed/>
    <w:rsid w:val="00D23157"/>
    <w:pPr>
      <w:spacing w:before="120" w:after="120" w:line="240" w:lineRule="auto"/>
    </w:pPr>
    <w:rPr>
      <w:rFonts w:eastAsia="Arial"/>
      <w:kern w:val="0"/>
      <w:sz w:val="20"/>
      <w:szCs w:val="20"/>
      <w:lang w:eastAsia="en-US" w:bidi="ar-SA"/>
      <w14:ligatures w14:val="none"/>
    </w:rPr>
  </w:style>
  <w:style w:type="character" w:customStyle="1" w:styleId="CommentTextChar">
    <w:name w:val="Comment Text Char"/>
    <w:basedOn w:val="DefaultParagraphFont"/>
    <w:link w:val="CommentText"/>
    <w:uiPriority w:val="99"/>
    <w:rsid w:val="00D23157"/>
    <w:rPr>
      <w:rFonts w:eastAsia="Arial"/>
      <w:kern w:val="0"/>
      <w:sz w:val="20"/>
      <w:szCs w:val="20"/>
      <w:lang w:eastAsia="en-US" w:bidi="ar-SA"/>
      <w14:ligatures w14:val="none"/>
    </w:rPr>
  </w:style>
  <w:style w:type="character" w:styleId="Mention">
    <w:name w:val="Mention"/>
    <w:basedOn w:val="DefaultParagraphFont"/>
    <w:uiPriority w:val="99"/>
    <w:unhideWhenUsed/>
    <w:rsid w:val="00D23157"/>
    <w:rPr>
      <w:color w:val="2B579A"/>
      <w:shd w:val="clear" w:color="auto" w:fill="E1DFDD"/>
    </w:rPr>
  </w:style>
  <w:style w:type="table" w:customStyle="1" w:styleId="EATable2">
    <w:name w:val="EA Table 2"/>
    <w:basedOn w:val="TableNormal"/>
    <w:uiPriority w:val="99"/>
    <w:rsid w:val="00D23157"/>
    <w:pPr>
      <w:spacing w:after="0" w:line="240" w:lineRule="auto"/>
    </w:pPr>
    <w:rPr>
      <w:rFonts w:eastAsiaTheme="minorHAnsi"/>
      <w:kern w:val="0"/>
      <w:sz w:val="22"/>
      <w:szCs w:val="22"/>
      <w:lang w:eastAsia="en-US" w:bidi="ar-SA"/>
      <w14:ligatures w14:val="none"/>
    </w:rPr>
    <w:tblPr>
      <w:tblStyleRowBandSize w:val="1"/>
      <w:tblStyleColBandSize w:val="1"/>
      <w:tblBorders>
        <w:bottom w:val="single" w:sz="4" w:space="0" w:color="auto"/>
        <w:insideH w:val="single" w:sz="4" w:space="0" w:color="auto"/>
        <w:insideV w:val="single" w:sz="4" w:space="0" w:color="auto"/>
      </w:tblBorders>
    </w:tblPr>
    <w:tblStylePr w:type="firstRow">
      <w:rPr>
        <w:b/>
      </w:rPr>
      <w:tblPr/>
      <w:tcPr>
        <w:shd w:val="clear" w:color="auto" w:fill="156082" w:themeFill="accent1"/>
      </w:tcPr>
    </w:tblStylePr>
    <w:tblStylePr w:type="band1Horz">
      <w:tblPr/>
      <w:tcPr>
        <w:shd w:val="clear" w:color="auto" w:fill="F4F4F4"/>
      </w:tcPr>
    </w:tblStylePr>
    <w:tblStylePr w:type="band2Horz">
      <w:tblPr/>
      <w:tcPr>
        <w:shd w:val="clear" w:color="auto" w:fill="D7E1EF"/>
      </w:tcPr>
    </w:tblStylePr>
  </w:style>
  <w:style w:type="paragraph" w:styleId="CommentSubject">
    <w:name w:val="annotation subject"/>
    <w:basedOn w:val="CommentText"/>
    <w:next w:val="CommentText"/>
    <w:link w:val="CommentSubjectChar"/>
    <w:uiPriority w:val="99"/>
    <w:semiHidden/>
    <w:unhideWhenUsed/>
    <w:rsid w:val="00D23157"/>
    <w:pPr>
      <w:spacing w:before="0" w:after="160"/>
    </w:pPr>
    <w:rPr>
      <w:rFonts w:eastAsiaTheme="minorEastAsia"/>
      <w:b/>
      <w:bCs/>
      <w:kern w:val="2"/>
      <w:szCs w:val="25"/>
      <w:lang w:eastAsia="zh-CN" w:bidi="th-TH"/>
      <w14:ligatures w14:val="standardContextual"/>
    </w:rPr>
  </w:style>
  <w:style w:type="character" w:customStyle="1" w:styleId="CommentSubjectChar">
    <w:name w:val="Comment Subject Char"/>
    <w:basedOn w:val="CommentTextChar"/>
    <w:link w:val="CommentSubject"/>
    <w:uiPriority w:val="99"/>
    <w:semiHidden/>
    <w:rsid w:val="00D23157"/>
    <w:rPr>
      <w:rFonts w:eastAsia="Arial"/>
      <w:b/>
      <w:bCs/>
      <w:kern w:val="0"/>
      <w:sz w:val="20"/>
      <w:szCs w:val="25"/>
      <w:lang w:eastAsia="en-US" w:bidi="ar-SA"/>
      <w14:ligatures w14:val="none"/>
    </w:rPr>
  </w:style>
  <w:style w:type="paragraph" w:styleId="Footer">
    <w:name w:val="footer"/>
    <w:basedOn w:val="Normal"/>
    <w:link w:val="FooterChar"/>
    <w:uiPriority w:val="99"/>
    <w:unhideWhenUsed/>
    <w:rsid w:val="00D23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157"/>
  </w:style>
  <w:style w:type="paragraph" w:styleId="Header">
    <w:name w:val="header"/>
    <w:basedOn w:val="Normal"/>
    <w:link w:val="HeaderChar"/>
    <w:uiPriority w:val="99"/>
    <w:unhideWhenUsed/>
    <w:rsid w:val="00C41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D96"/>
  </w:style>
  <w:style w:type="paragraph" w:customStyle="1" w:styleId="AppendixHeading">
    <w:name w:val="Appendix Heading"/>
    <w:basedOn w:val="Normal"/>
    <w:uiPriority w:val="9"/>
    <w:qFormat/>
    <w:rsid w:val="00A53189"/>
    <w:pPr>
      <w:keepNext/>
      <w:spacing w:before="400" w:after="120" w:line="276" w:lineRule="auto"/>
      <w:outlineLvl w:val="0"/>
    </w:pPr>
    <w:rPr>
      <w:rFonts w:eastAsiaTheme="minorHAnsi"/>
      <w:b/>
      <w:color w:val="4EA72E" w:themeColor="accent6"/>
      <w:kern w:val="0"/>
      <w:sz w:val="32"/>
      <w:szCs w:val="40"/>
      <w:lang w:val="mi-NZ" w:eastAsia="en-US" w:bidi="ar-SA"/>
      <w14:ligatures w14:val="none"/>
    </w:rPr>
  </w:style>
  <w:style w:type="character" w:styleId="Hyperlink">
    <w:name w:val="Hyperlink"/>
    <w:basedOn w:val="DefaultParagraphFont"/>
    <w:uiPriority w:val="99"/>
    <w:unhideWhenUsed/>
    <w:rsid w:val="004E264B"/>
    <w:rPr>
      <w:color w:val="467886" w:themeColor="hyperlink"/>
      <w:u w:val="single"/>
    </w:rPr>
  </w:style>
  <w:style w:type="character" w:styleId="UnresolvedMention">
    <w:name w:val="Unresolved Mention"/>
    <w:basedOn w:val="DefaultParagraphFont"/>
    <w:uiPriority w:val="99"/>
    <w:semiHidden/>
    <w:unhideWhenUsed/>
    <w:rsid w:val="004E2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govt.nz/code-and-compliance/the-code-electricity-industry-participation-code-2010/part-12a-distributor-agreements-arrangements-and-other-provis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6F305C8F676B49B5A3D737A00856FA" ma:contentTypeVersion="1" ma:contentTypeDescription="Create a new document." ma:contentTypeScope="" ma:versionID="f4afe8a1760900624c28042f11c6be41">
  <xsd:schema xmlns:xsd="http://www.w3.org/2001/XMLSchema" xmlns:xs="http://www.w3.org/2001/XMLSchema" xmlns:p="http://schemas.microsoft.com/office/2006/metadata/properties" xmlns:ns2="25f9ef2f-867a-42bc-859f-3f7aaf83223d" targetNamespace="http://schemas.microsoft.com/office/2006/metadata/properties" ma:root="true" ma:fieldsID="545651b668d79d81bccd53ce9ba166a7" ns2:_="">
    <xsd:import namespace="25f9ef2f-867a-42bc-859f-3f7aaf83223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9ef2f-867a-42bc-859f-3f7aaf8322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5f9ef2f-867a-42bc-859f-3f7aaf83223d">NWKPOL-334986179-14162</_dlc_DocId>
    <_dlc_DocIdUrl xmlns="25f9ef2f-867a-42bc-859f-3f7aaf83223d">
      <Url>https://electricityauthority.sharepoint.com/sites/nwkpol/_layouts/15/DocIdRedir.aspx?ID=NWKPOL-334986179-14162</Url>
      <Description>NWKPOL-334986179-14162</Description>
    </_dlc_DocIdUrl>
  </documentManagement>
</p:properties>
</file>

<file path=customXml/itemProps1.xml><?xml version="1.0" encoding="utf-8"?>
<ds:datastoreItem xmlns:ds="http://schemas.openxmlformats.org/officeDocument/2006/customXml" ds:itemID="{77E87B8E-36B6-416B-8244-54283C59D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9ef2f-867a-42bc-859f-3f7aaf832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1ED8D-4D43-45A3-9654-2B8D5D9F7B36}">
  <ds:schemaRefs>
    <ds:schemaRef ds:uri="http://schemas.microsoft.com/sharepoint/events"/>
  </ds:schemaRefs>
</ds:datastoreItem>
</file>

<file path=customXml/itemProps3.xml><?xml version="1.0" encoding="utf-8"?>
<ds:datastoreItem xmlns:ds="http://schemas.openxmlformats.org/officeDocument/2006/customXml" ds:itemID="{F048098C-9042-4CDD-B24F-840D0E1A2A5D}">
  <ds:schemaRefs>
    <ds:schemaRef ds:uri="http://schemas.microsoft.com/sharepoint/v3/contenttype/forms"/>
  </ds:schemaRefs>
</ds:datastoreItem>
</file>

<file path=customXml/itemProps4.xml><?xml version="1.0" encoding="utf-8"?>
<ds:datastoreItem xmlns:ds="http://schemas.openxmlformats.org/officeDocument/2006/customXml" ds:itemID="{91908B03-A6EA-449F-B860-291AE071CCEA}">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25f9ef2f-867a-42bc-859f-3f7aaf83223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Ayto</dc:creator>
  <cp:keywords/>
  <dc:description/>
  <cp:lastModifiedBy>Lydia Ayto</cp:lastModifiedBy>
  <cp:revision>132</cp:revision>
  <dcterms:created xsi:type="dcterms:W3CDTF">2025-08-27T02:23:00Z</dcterms:created>
  <dcterms:modified xsi:type="dcterms:W3CDTF">2025-09-04T22:02:00Z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3cdcc32f,38e2f101,768724b9</vt:lpwstr>
  </property>
  <property fmtid="{D5CDD505-2E9C-101B-9397-08002B2CF9AE}" pid="3" name="ClassificationContentMarkingFooterFontProps">
    <vt:lpwstr>#000000,10,Calibri</vt:lpwstr>
  </property>
  <property fmtid="{D5CDD505-2E9C-101B-9397-08002B2CF9AE}" pid="4" name="ClassificationContentMarkingFooterText">
    <vt:lpwstr>IN-CONFIDENCE: ORGANISATION</vt:lpwstr>
  </property>
  <property fmtid="{D5CDD505-2E9C-101B-9397-08002B2CF9AE}" pid="5" name="MSIP_Label_729a19d4-3005-49f1-9d8c-8924f528f29b_Enabled">
    <vt:lpwstr>true</vt:lpwstr>
  </property>
  <property fmtid="{D5CDD505-2E9C-101B-9397-08002B2CF9AE}" pid="6" name="MSIP_Label_729a19d4-3005-49f1-9d8c-8924f528f29b_SetDate">
    <vt:lpwstr>2025-08-27T02:29:38Z</vt:lpwstr>
  </property>
  <property fmtid="{D5CDD505-2E9C-101B-9397-08002B2CF9AE}" pid="7" name="MSIP_Label_729a19d4-3005-49f1-9d8c-8924f528f29b_Method">
    <vt:lpwstr>Standard</vt:lpwstr>
  </property>
  <property fmtid="{D5CDD505-2E9C-101B-9397-08002B2CF9AE}" pid="8" name="MSIP_Label_729a19d4-3005-49f1-9d8c-8924f528f29b_Name">
    <vt:lpwstr>Organisation</vt:lpwstr>
  </property>
  <property fmtid="{D5CDD505-2E9C-101B-9397-08002B2CF9AE}" pid="9" name="MSIP_Label_729a19d4-3005-49f1-9d8c-8924f528f29b_SiteId">
    <vt:lpwstr>01ce6efc-7935-414f-b831-2b1d356f92e4</vt:lpwstr>
  </property>
  <property fmtid="{D5CDD505-2E9C-101B-9397-08002B2CF9AE}" pid="10" name="MSIP_Label_729a19d4-3005-49f1-9d8c-8924f528f29b_ActionId">
    <vt:lpwstr>ea6a7f92-1f27-4be4-b008-bb22db4649b4</vt:lpwstr>
  </property>
  <property fmtid="{D5CDD505-2E9C-101B-9397-08002B2CF9AE}" pid="11" name="MSIP_Label_729a19d4-3005-49f1-9d8c-8924f528f29b_ContentBits">
    <vt:lpwstr>2</vt:lpwstr>
  </property>
  <property fmtid="{D5CDD505-2E9C-101B-9397-08002B2CF9AE}" pid="12" name="MSIP_Label_729a19d4-3005-49f1-9d8c-8924f528f29b_Tag">
    <vt:lpwstr>10, 3, 0, 1</vt:lpwstr>
  </property>
  <property fmtid="{D5CDD505-2E9C-101B-9397-08002B2CF9AE}" pid="13" name="ContentTypeId">
    <vt:lpwstr>0x010100B46F305C8F676B49B5A3D737A00856FA</vt:lpwstr>
  </property>
  <property fmtid="{D5CDD505-2E9C-101B-9397-08002B2CF9AE}" pid="14" name="o5bf2cb19629447f9a2359cc65ce1ab00">
    <vt:lpwstr>Projects|9934e0e0-cf4d-4657-9294-7be4234b1d3d</vt:lpwstr>
  </property>
  <property fmtid="{D5CDD505-2E9C-101B-9397-08002B2CF9AE}" pid="15" name="TaxCatchAll">
    <vt:lpwstr>1;#Network Policy|0c71deee-d191-4214-a5d2-005a1e2da12f;#3;#Projects|9934e0e0-cf4d-4657-9294-7be4234b1d3d</vt:lpwstr>
  </property>
  <property fmtid="{D5CDD505-2E9C-101B-9397-08002B2CF9AE}" pid="16" name="h1736067b4e84050a5044872bc775d0c0">
    <vt:lpwstr>Network Policy|0c71deee-d191-4214-a5d2-005a1e2da12f</vt:lpwstr>
  </property>
  <property fmtid="{D5CDD505-2E9C-101B-9397-08002B2CF9AE}" pid="17" name="EACode">
    <vt:lpwstr>3;#Projects|9934e0e0-cf4d-4657-9294-7be4234b1d3d</vt:lpwstr>
  </property>
  <property fmtid="{D5CDD505-2E9C-101B-9397-08002B2CF9AE}" pid="18" name="MediaServiceImageTags">
    <vt:lpwstr/>
  </property>
  <property fmtid="{D5CDD505-2E9C-101B-9397-08002B2CF9AE}" pid="19" name="lcf76f155ced4ddcb4097134ff3c332f">
    <vt:lpwstr/>
  </property>
  <property fmtid="{D5CDD505-2E9C-101B-9397-08002B2CF9AE}" pid="20" name="EAActivity">
    <vt:lpwstr>1;#Network Policy|0c71deee-d191-4214-a5d2-005a1e2da12f</vt:lpwstr>
  </property>
  <property fmtid="{D5CDD505-2E9C-101B-9397-08002B2CF9AE}" pid="21" name="_dlc_DocIdItemGuid">
    <vt:lpwstr>689cd774-fe62-44a7-9605-308ae8e034b3</vt:lpwstr>
  </property>
</Properties>
</file>