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236A" w14:textId="77777777" w:rsidR="00843754" w:rsidRDefault="00843754" w:rsidP="00032F74">
      <w:pPr>
        <w:pStyle w:val="Heading3"/>
        <w:ind w:left="0"/>
        <w:rPr>
          <w:rFonts w:ascii="Arial" w:hAnsi="Arial" w:cs="Arial"/>
          <w:b/>
          <w:bCs/>
          <w:color w:val="000000" w:themeColor="text1"/>
          <w:sz w:val="32"/>
          <w:szCs w:val="32"/>
        </w:rPr>
      </w:pPr>
      <w:bookmarkStart w:id="0" w:name="_Toc209547013"/>
      <w:bookmarkStart w:id="1" w:name="_Toc209708992"/>
      <w:r w:rsidRPr="004A2DB2">
        <w:rPr>
          <w:rFonts w:ascii="Arial" w:hAnsi="Arial" w:cs="Arial"/>
          <w:b/>
          <w:bCs/>
          <w:color w:val="000000" w:themeColor="text1"/>
          <w:sz w:val="32"/>
          <w:szCs w:val="32"/>
        </w:rPr>
        <w:t>Format for submissions</w:t>
      </w:r>
      <w:bookmarkEnd w:id="0"/>
      <w:bookmarkEnd w:id="1"/>
    </w:p>
    <w:p w14:paraId="2075D27A" w14:textId="1D03BAED" w:rsidR="009208BD" w:rsidRPr="009208BD" w:rsidRDefault="009208BD" w:rsidP="009208BD">
      <w:pPr>
        <w:rPr>
          <w:rFonts w:ascii="Arial" w:hAnsi="Arial" w:cs="Arial"/>
        </w:rPr>
      </w:pPr>
      <w:r w:rsidRPr="009208BD">
        <w:rPr>
          <w:rFonts w:ascii="Arial" w:hAnsi="Arial" w:cs="Arial"/>
        </w:rPr>
        <w:t>Improving visibility of significant distributed generation and load projects - clause 2.16 information notice</w:t>
      </w:r>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975"/>
        <w:gridCol w:w="564"/>
        <w:gridCol w:w="5902"/>
      </w:tblGrid>
      <w:tr w:rsidR="00032F74" w:rsidRPr="00843754" w14:paraId="2259AD82"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5" w:type="dxa"/>
            <w:tcBorders>
              <w:bottom w:val="single" w:sz="4" w:space="0" w:color="auto"/>
            </w:tcBorders>
            <w:shd w:val="clear" w:color="auto" w:fill="000000" w:themeFill="text1"/>
            <w:vAlign w:val="center"/>
          </w:tcPr>
          <w:p w14:paraId="39AF76F2" w14:textId="77777777" w:rsidR="00843754" w:rsidRPr="00843754" w:rsidRDefault="00843754" w:rsidP="00287887">
            <w:pPr>
              <w:ind w:left="0"/>
              <w:rPr>
                <w:rFonts w:ascii="Arial" w:hAnsi="Arial" w:cs="Arial"/>
                <w:color w:val="FFFFFF" w:themeColor="background1"/>
              </w:rPr>
            </w:pPr>
            <w:r w:rsidRPr="00843754">
              <w:rPr>
                <w:rFonts w:ascii="Arial" w:hAnsi="Arial" w:cs="Arial"/>
                <w:color w:val="FFFFFF" w:themeColor="background1"/>
              </w:rPr>
              <w:t>Submitter</w:t>
            </w:r>
          </w:p>
        </w:tc>
        <w:tc>
          <w:tcPr>
            <w:tcW w:w="6466" w:type="dxa"/>
            <w:gridSpan w:val="2"/>
            <w:tcBorders>
              <w:bottom w:val="single" w:sz="4" w:space="0" w:color="auto"/>
            </w:tcBorders>
            <w:shd w:val="clear" w:color="auto" w:fill="FFFFFF" w:themeFill="background1"/>
            <w:vAlign w:val="center"/>
          </w:tcPr>
          <w:p w14:paraId="1B72E8CC" w14:textId="77777777" w:rsidR="00843754" w:rsidRPr="00843754" w:rsidRDefault="00843754" w:rsidP="00287887">
            <w:pPr>
              <w:pStyle w:val="Appendix2"/>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p>
        </w:tc>
      </w:tr>
      <w:tr w:rsidR="00032F74" w:rsidRPr="00843754" w14:paraId="3029A5E9"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vAlign w:val="center"/>
          </w:tcPr>
          <w:p w14:paraId="65620E12" w14:textId="77777777" w:rsidR="00843754" w:rsidRPr="00843754" w:rsidRDefault="00843754" w:rsidP="00287887">
            <w:pPr>
              <w:ind w:left="0"/>
              <w:rPr>
                <w:rFonts w:ascii="Arial" w:hAnsi="Arial" w:cs="Arial"/>
                <w:b w:val="0"/>
                <w:bCs w:val="0"/>
              </w:rPr>
            </w:pPr>
            <w:r w:rsidRPr="00843754">
              <w:rPr>
                <w:rFonts w:ascii="Arial" w:hAnsi="Arial" w:cs="Arial"/>
                <w:b w:val="0"/>
                <w:bCs w:val="0"/>
              </w:rPr>
              <w:t>Question</w:t>
            </w:r>
          </w:p>
        </w:tc>
        <w:tc>
          <w:tcPr>
            <w:tcW w:w="5902" w:type="dxa"/>
            <w:tcBorders>
              <w:bottom w:val="single" w:sz="4" w:space="0" w:color="auto"/>
            </w:tcBorders>
            <w:shd w:val="clear" w:color="auto" w:fill="DAE9F7" w:themeFill="text2" w:themeFillTint="1A"/>
            <w:vAlign w:val="center"/>
          </w:tcPr>
          <w:p w14:paraId="7DC2AB11" w14:textId="77777777" w:rsidR="00843754" w:rsidRPr="00843754" w:rsidRDefault="00843754" w:rsidP="00287887">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843754">
              <w:rPr>
                <w:rFonts w:ascii="Arial" w:hAnsi="Arial" w:cs="Arial"/>
              </w:rPr>
              <w:t>Comments</w:t>
            </w:r>
          </w:p>
        </w:tc>
      </w:tr>
      <w:tr w:rsidR="00032F74" w:rsidRPr="00843754" w14:paraId="0D9E517A"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48CEA380"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t>Q1. Do you agree with the Authority’s proposal to require monthly provision of information to the Authority, to enable a ‘rolling’ set of information?</w:t>
            </w:r>
          </w:p>
        </w:tc>
        <w:tc>
          <w:tcPr>
            <w:tcW w:w="5902" w:type="dxa"/>
            <w:tcBorders>
              <w:bottom w:val="single" w:sz="4" w:space="0" w:color="auto"/>
            </w:tcBorders>
            <w:shd w:val="clear" w:color="auto" w:fill="F2F2F2" w:themeFill="background1" w:themeFillShade="F2"/>
          </w:tcPr>
          <w:p w14:paraId="3A6346C2"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086A4F42"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0DA8765D"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t>Q2. Do you agree with the proposed kW/kVA thresholds for inclusion of projects under the proposed notice?</w:t>
            </w:r>
          </w:p>
        </w:tc>
        <w:tc>
          <w:tcPr>
            <w:tcW w:w="5902" w:type="dxa"/>
            <w:tcBorders>
              <w:bottom w:val="single" w:sz="4" w:space="0" w:color="auto"/>
            </w:tcBorders>
            <w:shd w:val="clear" w:color="auto" w:fill="DAE9F7" w:themeFill="text2" w:themeFillTint="1A"/>
          </w:tcPr>
          <w:p w14:paraId="12D17460"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663017EE"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716F5C48" w14:textId="77777777" w:rsidR="00843754" w:rsidRPr="00843754" w:rsidRDefault="00843754" w:rsidP="00287887">
            <w:pPr>
              <w:pStyle w:val="AppendixNumberedParagraph"/>
              <w:numPr>
                <w:ilvl w:val="0"/>
                <w:numId w:val="0"/>
              </w:numPr>
              <w:spacing w:after="0"/>
              <w:rPr>
                <w:rFonts w:ascii="Arial" w:hAnsi="Arial" w:cs="Arial"/>
                <w:b w:val="0"/>
                <w:bCs w:val="0"/>
              </w:rPr>
            </w:pPr>
            <w:r w:rsidRPr="00843754">
              <w:rPr>
                <w:rFonts w:ascii="Arial" w:hAnsi="Arial" w:cs="Arial"/>
                <w:b w:val="0"/>
                <w:bCs w:val="0"/>
              </w:rPr>
              <w:t>Q3. Do you think smaller projects should be included under the proposed notice?</w:t>
            </w:r>
          </w:p>
        </w:tc>
        <w:tc>
          <w:tcPr>
            <w:tcW w:w="5902" w:type="dxa"/>
            <w:tcBorders>
              <w:bottom w:val="single" w:sz="4" w:space="0" w:color="auto"/>
            </w:tcBorders>
            <w:shd w:val="clear" w:color="auto" w:fill="F2F2F2" w:themeFill="background1" w:themeFillShade="F2"/>
          </w:tcPr>
          <w:p w14:paraId="58343708"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79FB4620"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5E12E01F" w14:textId="77777777" w:rsidR="00843754" w:rsidRPr="00843754" w:rsidRDefault="00843754" w:rsidP="00287887">
            <w:pPr>
              <w:pStyle w:val="AppendixNumberedParagraph"/>
              <w:numPr>
                <w:ilvl w:val="0"/>
                <w:numId w:val="0"/>
              </w:numPr>
              <w:spacing w:after="0"/>
              <w:rPr>
                <w:rFonts w:ascii="Arial" w:hAnsi="Arial" w:cs="Arial"/>
                <w:b w:val="0"/>
                <w:bCs w:val="0"/>
              </w:rPr>
            </w:pPr>
            <w:r w:rsidRPr="00843754">
              <w:rPr>
                <w:rFonts w:ascii="Arial" w:hAnsi="Arial" w:cs="Arial"/>
                <w:b w:val="0"/>
                <w:bCs w:val="0"/>
              </w:rPr>
              <w:t>Q4. Do you have any comments on the proposal to require developers (via distributors) to provide increased information on their generation and load projects?</w:t>
            </w:r>
          </w:p>
        </w:tc>
        <w:tc>
          <w:tcPr>
            <w:tcW w:w="5902" w:type="dxa"/>
            <w:tcBorders>
              <w:bottom w:val="single" w:sz="4" w:space="0" w:color="auto"/>
            </w:tcBorders>
            <w:shd w:val="clear" w:color="auto" w:fill="DAE9F7" w:themeFill="text2" w:themeFillTint="1A"/>
          </w:tcPr>
          <w:p w14:paraId="152CFD3A"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408EFB22"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37BE3256"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t>Q5. Do you have any comments on the proposal to require distributors to provide information that might be classified as confidential?</w:t>
            </w:r>
          </w:p>
        </w:tc>
        <w:tc>
          <w:tcPr>
            <w:tcW w:w="5902" w:type="dxa"/>
            <w:tcBorders>
              <w:bottom w:val="single" w:sz="4" w:space="0" w:color="auto"/>
            </w:tcBorders>
            <w:shd w:val="clear" w:color="auto" w:fill="F2F2F2" w:themeFill="background1" w:themeFillShade="F2"/>
          </w:tcPr>
          <w:p w14:paraId="169DD8B3"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0BB5E300"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4845125B" w14:textId="77777777" w:rsidR="00843754" w:rsidRPr="00843754" w:rsidRDefault="00843754" w:rsidP="00287887">
            <w:pPr>
              <w:pStyle w:val="AppendixNumberedParagraph"/>
              <w:numPr>
                <w:ilvl w:val="0"/>
                <w:numId w:val="0"/>
              </w:numPr>
              <w:spacing w:after="0"/>
              <w:rPr>
                <w:rFonts w:ascii="Arial" w:hAnsi="Arial" w:cs="Arial"/>
                <w:b w:val="0"/>
                <w:bCs w:val="0"/>
              </w:rPr>
            </w:pPr>
            <w:r w:rsidRPr="00843754">
              <w:rPr>
                <w:rFonts w:ascii="Arial" w:hAnsi="Arial" w:cs="Arial"/>
                <w:b w:val="0"/>
                <w:bCs w:val="0"/>
              </w:rPr>
              <w:t>Q6. Do you agree with the Authority’s proposal to publish aggregated information, and do you have any comments on how to best maintain confidentiality while providing as much transparency as possible?</w:t>
            </w:r>
          </w:p>
        </w:tc>
        <w:tc>
          <w:tcPr>
            <w:tcW w:w="5902" w:type="dxa"/>
            <w:tcBorders>
              <w:bottom w:val="single" w:sz="4" w:space="0" w:color="auto"/>
            </w:tcBorders>
            <w:shd w:val="clear" w:color="auto" w:fill="DAE9F7" w:themeFill="text2" w:themeFillTint="1A"/>
          </w:tcPr>
          <w:p w14:paraId="1CDE0015"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0AF1EBE5"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5BD22168" w14:textId="77777777" w:rsidR="00843754" w:rsidRPr="00843754" w:rsidRDefault="00843754" w:rsidP="00287887">
            <w:pPr>
              <w:pStyle w:val="AppendixNumberedParagraph"/>
              <w:numPr>
                <w:ilvl w:val="0"/>
                <w:numId w:val="0"/>
              </w:numPr>
              <w:spacing w:after="0"/>
              <w:rPr>
                <w:rFonts w:ascii="Arial" w:hAnsi="Arial" w:cs="Arial"/>
                <w:b w:val="0"/>
                <w:bCs w:val="0"/>
              </w:rPr>
            </w:pPr>
            <w:r w:rsidRPr="00843754">
              <w:rPr>
                <w:rFonts w:ascii="Arial" w:hAnsi="Arial" w:cs="Arial"/>
                <w:b w:val="0"/>
                <w:bCs w:val="0"/>
              </w:rPr>
              <w:t>Q7. Do you agree with the Authority’s proposal to aggregate some information provided by distributors to assess the status or stage of projects, and do you have any comments on the breakdown of the proposed stages?</w:t>
            </w:r>
          </w:p>
        </w:tc>
        <w:tc>
          <w:tcPr>
            <w:tcW w:w="5902" w:type="dxa"/>
            <w:tcBorders>
              <w:bottom w:val="single" w:sz="4" w:space="0" w:color="auto"/>
            </w:tcBorders>
            <w:shd w:val="clear" w:color="auto" w:fill="F2F2F2" w:themeFill="background1" w:themeFillShade="F2"/>
          </w:tcPr>
          <w:p w14:paraId="27588BA4"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56B5406B"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7DF37772"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t>Q8. Do you have any comments on when the data collection should commence?</w:t>
            </w:r>
          </w:p>
        </w:tc>
        <w:tc>
          <w:tcPr>
            <w:tcW w:w="5902" w:type="dxa"/>
            <w:tcBorders>
              <w:bottom w:val="single" w:sz="4" w:space="0" w:color="auto"/>
            </w:tcBorders>
            <w:shd w:val="clear" w:color="auto" w:fill="DAE9F7" w:themeFill="text2" w:themeFillTint="1A"/>
          </w:tcPr>
          <w:p w14:paraId="003A46A8"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10505532"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02753B38"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lastRenderedPageBreak/>
              <w:t>Q9. Do you think data collection for DG and load should commence at the same time?</w:t>
            </w:r>
          </w:p>
        </w:tc>
        <w:tc>
          <w:tcPr>
            <w:tcW w:w="5902" w:type="dxa"/>
            <w:tcBorders>
              <w:bottom w:val="single" w:sz="4" w:space="0" w:color="auto"/>
            </w:tcBorders>
            <w:shd w:val="clear" w:color="auto" w:fill="F2F2F2" w:themeFill="background1" w:themeFillShade="F2"/>
          </w:tcPr>
          <w:p w14:paraId="666D75E2"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28B0B943"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74E10D78" w14:textId="77777777" w:rsidR="00843754" w:rsidRPr="00843754" w:rsidRDefault="00843754" w:rsidP="00843754">
            <w:pPr>
              <w:pStyle w:val="AppendixNumberedParagraph"/>
              <w:spacing w:after="0" w:line="240" w:lineRule="auto"/>
              <w:ind w:left="0"/>
              <w:contextualSpacing/>
              <w:mirrorIndents/>
              <w:rPr>
                <w:rFonts w:ascii="Arial" w:hAnsi="Arial" w:cs="Arial"/>
                <w:b w:val="0"/>
                <w:bCs w:val="0"/>
              </w:rPr>
            </w:pPr>
            <w:r w:rsidRPr="00843754">
              <w:rPr>
                <w:rFonts w:ascii="Arial" w:hAnsi="Arial" w:cs="Arial"/>
                <w:b w:val="0"/>
                <w:bCs w:val="0"/>
              </w:rPr>
              <w:t>Q10. Do you agree the benefits of the proposed clause 2.16 notice outweigh its costs? If not, what area(s) of the Authority’s preliminary assessment of benefits and costs do you disagree with?</w:t>
            </w:r>
          </w:p>
        </w:tc>
        <w:tc>
          <w:tcPr>
            <w:tcW w:w="5902" w:type="dxa"/>
            <w:tcBorders>
              <w:bottom w:val="single" w:sz="4" w:space="0" w:color="auto"/>
            </w:tcBorders>
            <w:shd w:val="clear" w:color="auto" w:fill="DAE9F7" w:themeFill="text2" w:themeFillTint="1A"/>
          </w:tcPr>
          <w:p w14:paraId="78CE982C"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18E55862"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F2F2F2" w:themeFill="background1" w:themeFillShade="F2"/>
          </w:tcPr>
          <w:p w14:paraId="1EBFFAC3" w14:textId="77777777" w:rsidR="00843754" w:rsidRPr="00843754" w:rsidRDefault="00843754" w:rsidP="00287887">
            <w:pPr>
              <w:spacing w:after="0"/>
              <w:ind w:left="0"/>
              <w:rPr>
                <w:rFonts w:ascii="Arial" w:hAnsi="Arial" w:cs="Arial"/>
                <w:b w:val="0"/>
                <w:bCs w:val="0"/>
              </w:rPr>
            </w:pPr>
            <w:r w:rsidRPr="00843754">
              <w:rPr>
                <w:rFonts w:ascii="Arial" w:hAnsi="Arial" w:cs="Arial"/>
                <w:b w:val="0"/>
                <w:bCs w:val="0"/>
              </w:rPr>
              <w:t>Q11. Do you agree the proposed clause 2.16 notice is preferable to the other options? If you disagree, please explain your preferred option in terms consistent with the Authority’s statutory objective in section 15 of Act.</w:t>
            </w:r>
          </w:p>
        </w:tc>
        <w:tc>
          <w:tcPr>
            <w:tcW w:w="5902" w:type="dxa"/>
            <w:tcBorders>
              <w:bottom w:val="single" w:sz="4" w:space="0" w:color="auto"/>
            </w:tcBorders>
            <w:shd w:val="clear" w:color="auto" w:fill="F2F2F2" w:themeFill="background1" w:themeFillShade="F2"/>
          </w:tcPr>
          <w:p w14:paraId="4603BFE4"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2F74" w:rsidRPr="00843754" w14:paraId="60C6F093" w14:textId="77777777" w:rsidTr="00032F74">
        <w:trPr>
          <w:cantSplit/>
        </w:trPr>
        <w:tc>
          <w:tcPr>
            <w:cnfStyle w:val="001000000000" w:firstRow="0" w:lastRow="0" w:firstColumn="1" w:lastColumn="0" w:oddVBand="0" w:evenVBand="0" w:oddHBand="0" w:evenHBand="0" w:firstRowFirstColumn="0" w:firstRowLastColumn="0" w:lastRowFirstColumn="0" w:lastRowLastColumn="0"/>
            <w:tcW w:w="3539" w:type="dxa"/>
            <w:gridSpan w:val="2"/>
            <w:tcBorders>
              <w:bottom w:val="single" w:sz="4" w:space="0" w:color="auto"/>
            </w:tcBorders>
            <w:shd w:val="clear" w:color="auto" w:fill="DAE9F7" w:themeFill="text2" w:themeFillTint="1A"/>
          </w:tcPr>
          <w:p w14:paraId="317C772D" w14:textId="77777777" w:rsidR="00843754" w:rsidRPr="00843754" w:rsidRDefault="00843754" w:rsidP="00287887">
            <w:pPr>
              <w:spacing w:after="0"/>
              <w:ind w:left="0"/>
              <w:rPr>
                <w:rFonts w:ascii="Arial" w:hAnsi="Arial" w:cs="Arial"/>
                <w:b w:val="0"/>
                <w:bCs w:val="0"/>
              </w:rPr>
            </w:pPr>
            <w:r w:rsidRPr="00843754">
              <w:rPr>
                <w:rFonts w:ascii="Arial" w:hAnsi="Arial" w:cs="Arial"/>
                <w:b w:val="0"/>
                <w:bCs w:val="0"/>
              </w:rPr>
              <w:t>Q12. Should the Authority consider further work to monitor and assess the pipeline of new generation and demand?</w:t>
            </w:r>
          </w:p>
        </w:tc>
        <w:tc>
          <w:tcPr>
            <w:tcW w:w="5902" w:type="dxa"/>
            <w:tcBorders>
              <w:bottom w:val="single" w:sz="4" w:space="0" w:color="auto"/>
            </w:tcBorders>
            <w:shd w:val="clear" w:color="auto" w:fill="DAE9F7" w:themeFill="text2" w:themeFillTint="1A"/>
          </w:tcPr>
          <w:p w14:paraId="0EF4CF72" w14:textId="77777777" w:rsidR="00843754" w:rsidRPr="00843754" w:rsidRDefault="00843754" w:rsidP="00287887">
            <w:pPr>
              <w:pStyle w:val="AppendixNumberedParagraph"/>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2F74" w:rsidRPr="00843754" w14:paraId="09C2F870" w14:textId="77777777" w:rsidTr="00032F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F2F2F2" w:themeFill="background1" w:themeFillShade="F2"/>
          </w:tcPr>
          <w:p w14:paraId="4B081F07" w14:textId="77777777" w:rsidR="00843754" w:rsidRPr="00843754" w:rsidRDefault="00843754" w:rsidP="00287887">
            <w:pPr>
              <w:spacing w:after="0"/>
              <w:ind w:left="0"/>
              <w:rPr>
                <w:rFonts w:ascii="Arial" w:hAnsi="Arial" w:cs="Arial"/>
                <w:b w:val="0"/>
                <w:bCs w:val="0"/>
              </w:rPr>
            </w:pPr>
            <w:r w:rsidRPr="00843754">
              <w:rPr>
                <w:rFonts w:ascii="Arial" w:hAnsi="Arial" w:cs="Arial"/>
                <w:b w:val="0"/>
                <w:bCs w:val="0"/>
              </w:rPr>
              <w:t>Q13. Do you have any comments on the drafting of the proposed notice?</w:t>
            </w:r>
          </w:p>
        </w:tc>
        <w:tc>
          <w:tcPr>
            <w:tcW w:w="5902" w:type="dxa"/>
            <w:shd w:val="clear" w:color="auto" w:fill="F2F2F2" w:themeFill="background1" w:themeFillShade="F2"/>
          </w:tcPr>
          <w:p w14:paraId="119B3167" w14:textId="77777777" w:rsidR="00843754" w:rsidRPr="00843754" w:rsidRDefault="00843754" w:rsidP="00287887">
            <w:pPr>
              <w:pStyle w:val="AppendixNumberedParagraph"/>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A82B5C7" w14:textId="77777777" w:rsidR="00696151" w:rsidRDefault="00696151"/>
    <w:sectPr w:rsidR="00696151" w:rsidSect="00032F74">
      <w:footerReference w:type="even" r:id="rId7"/>
      <w:footerReference w:type="default" r:id="rId8"/>
      <w:footerReference w:type="firs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B636" w14:textId="77777777" w:rsidR="00F269FE" w:rsidRDefault="00F269FE" w:rsidP="004A2DB2">
      <w:pPr>
        <w:spacing w:after="0" w:line="240" w:lineRule="auto"/>
      </w:pPr>
      <w:r>
        <w:separator/>
      </w:r>
    </w:p>
  </w:endnote>
  <w:endnote w:type="continuationSeparator" w:id="0">
    <w:p w14:paraId="793DF17F" w14:textId="77777777" w:rsidR="00F269FE" w:rsidRDefault="00F269FE" w:rsidP="004A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B958" w14:textId="1F7EEF49" w:rsidR="004A2DB2" w:rsidRDefault="004A2DB2">
    <w:pPr>
      <w:pStyle w:val="Footer"/>
    </w:pPr>
    <w:r>
      <w:rPr>
        <w:noProof/>
        <w14:ligatures w14:val="standardContextual"/>
      </w:rPr>
      <mc:AlternateContent>
        <mc:Choice Requires="wps">
          <w:drawing>
            <wp:anchor distT="0" distB="0" distL="0" distR="0" simplePos="0" relativeHeight="251659264" behindDoc="0" locked="0" layoutInCell="1" allowOverlap="1" wp14:anchorId="63AE7A11" wp14:editId="18600829">
              <wp:simplePos x="635" y="635"/>
              <wp:positionH relativeFrom="page">
                <wp:align>center</wp:align>
              </wp:positionH>
              <wp:positionV relativeFrom="page">
                <wp:align>bottom</wp:align>
              </wp:positionV>
              <wp:extent cx="2064385" cy="364490"/>
              <wp:effectExtent l="0" t="0" r="12065" b="0"/>
              <wp:wrapNone/>
              <wp:docPr id="1272579079"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4385" cy="364490"/>
                      </a:xfrm>
                      <a:prstGeom prst="rect">
                        <a:avLst/>
                      </a:prstGeom>
                      <a:noFill/>
                      <a:ln>
                        <a:noFill/>
                      </a:ln>
                    </wps:spPr>
                    <wps:txbx>
                      <w:txbxContent>
                        <w:p w14:paraId="24F29EE5" w14:textId="0AC68C04"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E7A11" id="_x0000_t202" coordsize="21600,21600" o:spt="202" path="m,l,21600r21600,l21600,xe">
              <v:stroke joinstyle="miter"/>
              <v:path gradientshapeok="t" o:connecttype="rect"/>
            </v:shapetype>
            <v:shape id="Text Box 2" o:spid="_x0000_s1026" type="#_x0000_t202" alt="IN-CONFIDENCE: ORGANISATION" style="position:absolute;left:0;text-align:left;margin-left:0;margin-top:0;width:162.55pt;height:28.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" filled="f" stroked="f">
              <v:textbox style="mso-fit-shape-to-text:t" inset="0,0,0,15pt">
                <w:txbxContent>
                  <w:p w14:paraId="24F29EE5" w14:textId="0AC68C04"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22B4" w14:textId="41D585B4" w:rsidR="004A2DB2" w:rsidRDefault="004A2DB2">
    <w:pPr>
      <w:pStyle w:val="Footer"/>
    </w:pPr>
    <w:r>
      <w:rPr>
        <w:noProof/>
        <w14:ligatures w14:val="standardContextual"/>
      </w:rPr>
      <mc:AlternateContent>
        <mc:Choice Requires="wps">
          <w:drawing>
            <wp:anchor distT="0" distB="0" distL="0" distR="0" simplePos="0" relativeHeight="251660288" behindDoc="0" locked="0" layoutInCell="1" allowOverlap="1" wp14:anchorId="3777323E" wp14:editId="066F2C30">
              <wp:simplePos x="683812" y="10074303"/>
              <wp:positionH relativeFrom="page">
                <wp:align>center</wp:align>
              </wp:positionH>
              <wp:positionV relativeFrom="page">
                <wp:align>bottom</wp:align>
              </wp:positionV>
              <wp:extent cx="2064385" cy="364490"/>
              <wp:effectExtent l="0" t="0" r="12065" b="0"/>
              <wp:wrapNone/>
              <wp:docPr id="393830284"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4385" cy="364490"/>
                      </a:xfrm>
                      <a:prstGeom prst="rect">
                        <a:avLst/>
                      </a:prstGeom>
                      <a:noFill/>
                      <a:ln>
                        <a:noFill/>
                      </a:ln>
                    </wps:spPr>
                    <wps:txbx>
                      <w:txbxContent>
                        <w:p w14:paraId="092E9EAC" w14:textId="5C89F1DE"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7323E" id="_x0000_t202" coordsize="21600,21600" o:spt="202" path="m,l,21600r21600,l21600,xe">
              <v:stroke joinstyle="miter"/>
              <v:path gradientshapeok="t" o:connecttype="rect"/>
            </v:shapetype>
            <v:shape id="Text Box 3" o:spid="_x0000_s1027" type="#_x0000_t202" alt="IN-CONFIDENCE: ORGANISATION" style="position:absolute;left:0;text-align:left;margin-left:0;margin-top:0;width:162.55pt;height:28.7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" filled="f" stroked="f">
              <v:textbox style="mso-fit-shape-to-text:t" inset="0,0,0,15pt">
                <w:txbxContent>
                  <w:p w14:paraId="092E9EAC" w14:textId="5C89F1DE"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E5E7" w14:textId="06D79371" w:rsidR="004A2DB2" w:rsidRDefault="004A2DB2">
    <w:pPr>
      <w:pStyle w:val="Footer"/>
    </w:pPr>
    <w:r>
      <w:rPr>
        <w:noProof/>
        <w14:ligatures w14:val="standardContextual"/>
      </w:rPr>
      <mc:AlternateContent>
        <mc:Choice Requires="wps">
          <w:drawing>
            <wp:anchor distT="0" distB="0" distL="0" distR="0" simplePos="0" relativeHeight="251658240" behindDoc="0" locked="0" layoutInCell="1" allowOverlap="1" wp14:anchorId="173FFD2B" wp14:editId="333A786A">
              <wp:simplePos x="635" y="635"/>
              <wp:positionH relativeFrom="page">
                <wp:align>center</wp:align>
              </wp:positionH>
              <wp:positionV relativeFrom="page">
                <wp:align>bottom</wp:align>
              </wp:positionV>
              <wp:extent cx="2064385" cy="364490"/>
              <wp:effectExtent l="0" t="0" r="12065" b="0"/>
              <wp:wrapNone/>
              <wp:docPr id="116524933"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4385" cy="364490"/>
                      </a:xfrm>
                      <a:prstGeom prst="rect">
                        <a:avLst/>
                      </a:prstGeom>
                      <a:noFill/>
                      <a:ln>
                        <a:noFill/>
                      </a:ln>
                    </wps:spPr>
                    <wps:txbx>
                      <w:txbxContent>
                        <w:p w14:paraId="5FF431C7" w14:textId="36269708"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FFD2B" id="_x0000_t202" coordsize="21600,21600" o:spt="202" path="m,l,21600r21600,l21600,xe">
              <v:stroke joinstyle="miter"/>
              <v:path gradientshapeok="t" o:connecttype="rect"/>
            </v:shapetype>
            <v:shape id="Text Box 1" o:spid="_x0000_s1028" type="#_x0000_t202" alt="IN-CONFIDENCE: ORGANISATION" style="position:absolute;left:0;text-align:left;margin-left:0;margin-top:0;width:162.55pt;height:28.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" filled="f" stroked="f">
              <v:textbox style="mso-fit-shape-to-text:t" inset="0,0,0,15pt">
                <w:txbxContent>
                  <w:p w14:paraId="5FF431C7" w14:textId="36269708" w:rsidR="004A2DB2" w:rsidRPr="004A2DB2" w:rsidRDefault="004A2DB2" w:rsidP="004A2DB2">
                    <w:pPr>
                      <w:spacing w:after="0"/>
                      <w:rPr>
                        <w:rFonts w:ascii="Calibri" w:eastAsia="Calibri" w:hAnsi="Calibri" w:cs="Calibri"/>
                        <w:noProof/>
                        <w:color w:val="000000"/>
                        <w:sz w:val="20"/>
                        <w:szCs w:val="20"/>
                      </w:rPr>
                    </w:pPr>
                    <w:r w:rsidRPr="004A2DB2">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58D9" w14:textId="77777777" w:rsidR="00F269FE" w:rsidRDefault="00F269FE" w:rsidP="004A2DB2">
      <w:pPr>
        <w:spacing w:after="0" w:line="240" w:lineRule="auto"/>
      </w:pPr>
      <w:r>
        <w:separator/>
      </w:r>
    </w:p>
  </w:footnote>
  <w:footnote w:type="continuationSeparator" w:id="0">
    <w:p w14:paraId="0F7FB914" w14:textId="77777777" w:rsidR="00F269FE" w:rsidRDefault="00F269FE" w:rsidP="004A2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6EB"/>
    <w:multiLevelType w:val="multilevel"/>
    <w:tmpl w:val="B5AC3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7B33C7"/>
    <w:multiLevelType w:val="multilevel"/>
    <w:tmpl w:val="8D90590E"/>
    <w:lvl w:ilvl="0">
      <w:start w:val="1"/>
      <w:numFmt w:val="upperLetter"/>
      <w:pStyle w:val="Appendix1"/>
      <w:lvlText w:val="Appendix %1"/>
      <w:lvlJc w:val="left"/>
      <w:pPr>
        <w:tabs>
          <w:tab w:val="num" w:pos="851"/>
        </w:tabs>
        <w:ind w:left="851" w:hanging="851"/>
      </w:pPr>
      <w:rPr>
        <w:rFonts w:ascii="Arial Bold" w:hAnsi="Arial Bold" w:hint="default"/>
        <w:b/>
        <w:i w:val="0"/>
        <w:color w:val="002B49"/>
        <w:sz w:val="32"/>
      </w:rPr>
    </w:lvl>
    <w:lvl w:ilvl="1">
      <w:start w:val="1"/>
      <w:numFmt w:val="none"/>
      <w:pStyle w:val="Appendix2"/>
      <w:lvlText w:val=""/>
      <w:lvlJc w:val="left"/>
      <w:pPr>
        <w:tabs>
          <w:tab w:val="num" w:pos="1021"/>
        </w:tabs>
        <w:ind w:left="567" w:hanging="567"/>
      </w:pPr>
      <w:rPr>
        <w:rFonts w:hint="default"/>
      </w:rPr>
    </w:lvl>
    <w:lvl w:ilvl="2">
      <w:start w:val="1"/>
      <w:numFmt w:val="decimal"/>
      <w:pStyle w:val="AppendixNumberedParagraph"/>
      <w:lvlText w:val="%1.%2%3"/>
      <w:lvlJc w:val="left"/>
      <w:pPr>
        <w:tabs>
          <w:tab w:val="num" w:pos="992"/>
        </w:tabs>
        <w:ind w:left="567" w:hanging="567"/>
      </w:pPr>
      <w:rPr>
        <w:rFonts w:hint="default"/>
      </w:rPr>
    </w:lvl>
    <w:lvl w:ilvl="3">
      <w:start w:val="1"/>
      <w:numFmt w:val="lowerLetter"/>
      <w:pStyle w:val="AppendixSubParagraph"/>
      <w:lvlText w:val="(%4)"/>
      <w:lvlJc w:val="left"/>
      <w:pPr>
        <w:ind w:left="1021" w:hanging="426"/>
      </w:pPr>
      <w:rPr>
        <w:rFonts w:hint="default"/>
      </w:rPr>
    </w:lvl>
    <w:lvl w:ilvl="4">
      <w:start w:val="1"/>
      <w:numFmt w:val="lowerRoman"/>
      <w:lvlText w:val="(%5)"/>
      <w:lvlJc w:val="left"/>
      <w:pPr>
        <w:ind w:left="1474" w:hanging="425"/>
      </w:pPr>
      <w:rPr>
        <w:rFonts w:hint="default"/>
      </w:rPr>
    </w:lvl>
    <w:lvl w:ilvl="5">
      <w:start w:val="1"/>
      <w:numFmt w:val="bullet"/>
      <w:lvlText w:val=""/>
      <w:lvlJc w:val="left"/>
      <w:pPr>
        <w:tabs>
          <w:tab w:val="num" w:pos="1503"/>
        </w:tabs>
        <w:ind w:left="1928" w:hanging="425"/>
      </w:pPr>
      <w:rPr>
        <w:rFonts w:ascii="Symbol" w:hAnsi="Symbol" w:hint="default"/>
      </w:rPr>
    </w:lvl>
    <w:lvl w:ilvl="6">
      <w:start w:val="1"/>
      <w:numFmt w:val="bullet"/>
      <w:lvlText w:val=""/>
      <w:lvlJc w:val="left"/>
      <w:pPr>
        <w:tabs>
          <w:tab w:val="num" w:pos="1956"/>
        </w:tabs>
        <w:ind w:left="2381" w:hanging="425"/>
      </w:pPr>
      <w:rPr>
        <w:rFonts w:ascii="Symbol" w:hAnsi="Symbol" w:hint="default"/>
      </w:rPr>
    </w:lvl>
    <w:lvl w:ilvl="7">
      <w:start w:val="1"/>
      <w:numFmt w:val="none"/>
      <w:lvlText w:val=""/>
      <w:lvlJc w:val="left"/>
      <w:pPr>
        <w:tabs>
          <w:tab w:val="num" w:pos="13721"/>
        </w:tabs>
        <w:ind w:left="2381" w:firstLine="0"/>
      </w:pPr>
      <w:rPr>
        <w:rFonts w:hint="default"/>
      </w:rPr>
    </w:lvl>
    <w:lvl w:ilvl="8">
      <w:start w:val="1"/>
      <w:numFmt w:val="none"/>
      <w:lvlText w:val=""/>
      <w:lvlJc w:val="right"/>
      <w:pPr>
        <w:tabs>
          <w:tab w:val="num" w:pos="2381"/>
        </w:tabs>
        <w:ind w:left="2381" w:firstLine="0"/>
      </w:pPr>
      <w:rPr>
        <w:rFonts w:hint="default"/>
      </w:rPr>
    </w:lvl>
  </w:abstractNum>
  <w:abstractNum w:abstractNumId="2" w15:restartNumberingAfterBreak="0">
    <w:nsid w:val="62FD6184"/>
    <w:multiLevelType w:val="multilevel"/>
    <w:tmpl w:val="80223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1696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776509">
    <w:abstractNumId w:val="0"/>
  </w:num>
  <w:num w:numId="3" w16cid:durableId="917396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54"/>
    <w:rsid w:val="00032F74"/>
    <w:rsid w:val="00057BFA"/>
    <w:rsid w:val="00074D72"/>
    <w:rsid w:val="000F38C4"/>
    <w:rsid w:val="00184221"/>
    <w:rsid w:val="001F6EC8"/>
    <w:rsid w:val="00304359"/>
    <w:rsid w:val="003D25A7"/>
    <w:rsid w:val="00417141"/>
    <w:rsid w:val="00472173"/>
    <w:rsid w:val="004A2DB2"/>
    <w:rsid w:val="00563BEB"/>
    <w:rsid w:val="00584A46"/>
    <w:rsid w:val="00654D95"/>
    <w:rsid w:val="006760B8"/>
    <w:rsid w:val="00686B6A"/>
    <w:rsid w:val="006870A3"/>
    <w:rsid w:val="00696151"/>
    <w:rsid w:val="00843754"/>
    <w:rsid w:val="008532A5"/>
    <w:rsid w:val="009208BD"/>
    <w:rsid w:val="009249A8"/>
    <w:rsid w:val="00A34A2D"/>
    <w:rsid w:val="00A43BD4"/>
    <w:rsid w:val="00AE12EA"/>
    <w:rsid w:val="00B32B06"/>
    <w:rsid w:val="00C54AE3"/>
    <w:rsid w:val="00DC052D"/>
    <w:rsid w:val="00E37EC5"/>
    <w:rsid w:val="00E86FF1"/>
    <w:rsid w:val="00EC7C3C"/>
    <w:rsid w:val="00F269F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03227"/>
  <w15:chartTrackingRefBased/>
  <w15:docId w15:val="{297AA366-F749-46A4-9B83-C032E9AC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3754"/>
    <w:pPr>
      <w:spacing w:after="120" w:line="269" w:lineRule="auto"/>
      <w:ind w:left="567"/>
    </w:pPr>
    <w:rPr>
      <w:rFonts w:cstheme="majorBidi"/>
      <w:color w:val="000000" w:themeColor="text1"/>
      <w:kern w:val="0"/>
      <w:sz w:val="22"/>
      <w:szCs w:val="22"/>
      <w14:ligatures w14:val="none"/>
    </w:rPr>
  </w:style>
  <w:style w:type="paragraph" w:styleId="Heading1">
    <w:name w:val="heading 1"/>
    <w:basedOn w:val="Normal"/>
    <w:next w:val="Normal"/>
    <w:link w:val="Heading1Char"/>
    <w:uiPriority w:val="9"/>
    <w:qFormat/>
    <w:rsid w:val="00843754"/>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843754"/>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rsid w:val="00843754"/>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43754"/>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43754"/>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843754"/>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43754"/>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843754"/>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43754"/>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3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54"/>
    <w:rPr>
      <w:rFonts w:eastAsiaTheme="majorEastAsia" w:cstheme="majorBidi"/>
      <w:color w:val="272727" w:themeColor="text1" w:themeTint="D8"/>
    </w:rPr>
  </w:style>
  <w:style w:type="paragraph" w:styleId="Title">
    <w:name w:val="Title"/>
    <w:basedOn w:val="Normal"/>
    <w:next w:val="Normal"/>
    <w:link w:val="TitleChar"/>
    <w:uiPriority w:val="10"/>
    <w:qFormat/>
    <w:rsid w:val="0084375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43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54"/>
    <w:pPr>
      <w:numPr>
        <w:ilvl w:val="1"/>
      </w:numPr>
      <w:ind w:left="567"/>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843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54"/>
    <w:pPr>
      <w:spacing w:before="160"/>
      <w:jc w:val="center"/>
    </w:pPr>
    <w:rPr>
      <w:i/>
      <w:iCs/>
      <w:color w:val="404040" w:themeColor="text1" w:themeTint="BF"/>
    </w:rPr>
  </w:style>
  <w:style w:type="character" w:customStyle="1" w:styleId="QuoteChar">
    <w:name w:val="Quote Char"/>
    <w:basedOn w:val="DefaultParagraphFont"/>
    <w:link w:val="Quote"/>
    <w:uiPriority w:val="29"/>
    <w:rsid w:val="00843754"/>
    <w:rPr>
      <w:i/>
      <w:iCs/>
      <w:color w:val="404040" w:themeColor="text1" w:themeTint="BF"/>
    </w:rPr>
  </w:style>
  <w:style w:type="paragraph" w:styleId="ListParagraph">
    <w:name w:val="List Paragraph"/>
    <w:basedOn w:val="Normal"/>
    <w:uiPriority w:val="34"/>
    <w:qFormat/>
    <w:rsid w:val="00843754"/>
    <w:pPr>
      <w:ind w:left="720"/>
      <w:contextualSpacing/>
    </w:pPr>
  </w:style>
  <w:style w:type="character" w:styleId="IntenseEmphasis">
    <w:name w:val="Intense Emphasis"/>
    <w:basedOn w:val="DefaultParagraphFont"/>
    <w:uiPriority w:val="21"/>
    <w:qFormat/>
    <w:rsid w:val="00843754"/>
    <w:rPr>
      <w:i/>
      <w:iCs/>
      <w:color w:val="0F4761" w:themeColor="accent1" w:themeShade="BF"/>
    </w:rPr>
  </w:style>
  <w:style w:type="paragraph" w:styleId="IntenseQuote">
    <w:name w:val="Intense Quote"/>
    <w:basedOn w:val="Normal"/>
    <w:next w:val="Normal"/>
    <w:link w:val="IntenseQuoteChar"/>
    <w:uiPriority w:val="30"/>
    <w:qFormat/>
    <w:rsid w:val="00843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54"/>
    <w:rPr>
      <w:i/>
      <w:iCs/>
      <w:color w:val="0F4761" w:themeColor="accent1" w:themeShade="BF"/>
    </w:rPr>
  </w:style>
  <w:style w:type="character" w:styleId="IntenseReference">
    <w:name w:val="Intense Reference"/>
    <w:basedOn w:val="DefaultParagraphFont"/>
    <w:uiPriority w:val="32"/>
    <w:qFormat/>
    <w:rsid w:val="00843754"/>
    <w:rPr>
      <w:b/>
      <w:bCs/>
      <w:smallCaps/>
      <w:color w:val="0F4761" w:themeColor="accent1" w:themeShade="BF"/>
      <w:spacing w:val="5"/>
    </w:rPr>
  </w:style>
  <w:style w:type="paragraph" w:customStyle="1" w:styleId="Appendix1">
    <w:name w:val="Appendix 1"/>
    <w:basedOn w:val="Heading1"/>
    <w:next w:val="Appendix2"/>
    <w:uiPriority w:val="34"/>
    <w:qFormat/>
    <w:rsid w:val="00843754"/>
    <w:pPr>
      <w:pageBreakBefore/>
      <w:numPr>
        <w:numId w:val="1"/>
      </w:numPr>
      <w:spacing w:before="0" w:after="120"/>
      <w:contextualSpacing/>
    </w:pPr>
    <w:rPr>
      <w:b/>
      <w:color w:val="002B49"/>
      <w:sz w:val="32"/>
    </w:rPr>
  </w:style>
  <w:style w:type="paragraph" w:customStyle="1" w:styleId="Appendix2">
    <w:name w:val="Appendix 2"/>
    <w:basedOn w:val="Heading2"/>
    <w:next w:val="AppendixNumberedParagraph"/>
    <w:uiPriority w:val="41"/>
    <w:qFormat/>
    <w:rsid w:val="00843754"/>
    <w:pPr>
      <w:numPr>
        <w:ilvl w:val="1"/>
        <w:numId w:val="1"/>
      </w:numPr>
      <w:spacing w:before="180" w:after="120"/>
      <w:contextualSpacing/>
    </w:pPr>
    <w:rPr>
      <w:b/>
      <w:color w:val="4EA72E" w:themeColor="accent6"/>
      <w:sz w:val="28"/>
    </w:rPr>
  </w:style>
  <w:style w:type="table" w:customStyle="1" w:styleId="EATable">
    <w:name w:val="EA Table"/>
    <w:basedOn w:val="TableGridLight"/>
    <w:uiPriority w:val="99"/>
    <w:rsid w:val="00843754"/>
    <w:pPr>
      <w:numPr>
        <w:ilvl w:val="2"/>
        <w:numId w:val="3"/>
      </w:numPr>
    </w:pPr>
    <w:rPr>
      <w:rFonts w:cstheme="majorBidi"/>
      <w:kern w:val="0"/>
      <w:sz w:val="20"/>
      <w:szCs w:val="20"/>
      <w:lang w:eastAsia="en-NZ" w:bidi="th-TH"/>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left w:w="45" w:type="dxa"/>
        <w:bottom w:w="28" w:type="dxa"/>
        <w:right w:w="28" w:type="dxa"/>
      </w:tblCellMar>
    </w:tblPr>
    <w:tcPr>
      <w:vAlign w:val="center"/>
    </w:tc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C1F0C7" w:themeFill="accent3" w:themeFillTint="33"/>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D9F2D0" w:themeFill="accent6" w:themeFillTint="33"/>
      </w:tcPr>
    </w:tblStylePr>
    <w:tblStylePr w:type="neCell">
      <w:pPr>
        <w:wordWrap/>
        <w:spacing w:beforeLines="0" w:before="0" w:beforeAutospacing="0" w:afterLines="0" w:after="0" w:afterAutospacing="0" w:line="240" w:lineRule="auto"/>
      </w:pPr>
    </w:tblStylePr>
  </w:style>
  <w:style w:type="paragraph" w:customStyle="1" w:styleId="AppendixNumberedParagraph">
    <w:name w:val="Appendix Numbered Paragraph"/>
    <w:basedOn w:val="Normal"/>
    <w:uiPriority w:val="41"/>
    <w:qFormat/>
    <w:rsid w:val="00843754"/>
    <w:pPr>
      <w:numPr>
        <w:ilvl w:val="2"/>
        <w:numId w:val="1"/>
      </w:numPr>
    </w:pPr>
  </w:style>
  <w:style w:type="paragraph" w:customStyle="1" w:styleId="AppendixSubParagraph">
    <w:name w:val="Appendix Sub Paragraph"/>
    <w:basedOn w:val="Normal"/>
    <w:uiPriority w:val="41"/>
    <w:unhideWhenUsed/>
    <w:qFormat/>
    <w:rsid w:val="00843754"/>
    <w:pPr>
      <w:numPr>
        <w:ilvl w:val="3"/>
        <w:numId w:val="1"/>
      </w:numPr>
    </w:pPr>
  </w:style>
  <w:style w:type="table" w:styleId="TableGridLight">
    <w:name w:val="Grid Table Light"/>
    <w:basedOn w:val="TableNormal"/>
    <w:uiPriority w:val="40"/>
    <w:rsid w:val="00843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843754"/>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er">
    <w:name w:val="footer"/>
    <w:basedOn w:val="Normal"/>
    <w:link w:val="FooterChar"/>
    <w:uiPriority w:val="99"/>
    <w:unhideWhenUsed/>
    <w:rsid w:val="004A2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DB2"/>
    <w:rPr>
      <w:rFonts w:cstheme="majorBidi"/>
      <w:color w:val="000000" w:themeColor="text1"/>
      <w:kern w:val="0"/>
      <w:sz w:val="22"/>
      <w:szCs w:val="22"/>
      <w14:ligatures w14:val="none"/>
    </w:rPr>
  </w:style>
  <w:style w:type="paragraph" w:styleId="Header">
    <w:name w:val="header"/>
    <w:basedOn w:val="Normal"/>
    <w:link w:val="HeaderChar"/>
    <w:uiPriority w:val="99"/>
    <w:unhideWhenUsed/>
    <w:rsid w:val="00920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8BD"/>
    <w:rPr>
      <w:rFonts w:cstheme="majorBidi"/>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3c04b0-7846-46cc-a94c-4174b2ad2900}"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Miller</dc:creator>
  <cp:keywords/>
  <dc:description/>
  <cp:lastModifiedBy>Eleanor Wenman</cp:lastModifiedBy>
  <cp:revision>2</cp:revision>
  <dcterms:created xsi:type="dcterms:W3CDTF">2025-09-29T00:02:00Z</dcterms:created>
  <dcterms:modified xsi:type="dcterms:W3CDTF">2025-10-02T20:09:00Z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6f20785,4bda0407,17795f8c</vt:lpwstr>
  </property>
  <property fmtid="{D5CDD505-2E9C-101B-9397-08002B2CF9AE}" pid="3" name="ClassificationContentMarkingFooterFontProps">
    <vt:lpwstr>#000000,10,Calibri</vt:lpwstr>
  </property>
  <property fmtid="{D5CDD505-2E9C-101B-9397-08002B2CF9AE}" pid="4" name="ClassificationContentMarkingFooterText">
    <vt:lpwstr>IN-CONFIDENCE: ORGANISATION</vt:lpwstr>
  </property>
</Properties>
</file>