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E2DF" w14:textId="02AF9619" w:rsidR="008B512A" w:rsidRPr="00CA47F4" w:rsidRDefault="008B512A" w:rsidP="008B512A">
      <w:pPr>
        <w:pStyle w:val="AppendixHeading"/>
        <w:ind w:left="2268"/>
        <w:rPr>
          <w:rFonts w:ascii="Arial" w:hAnsi="Arial" w:cs="Arial"/>
          <w:lang w:val="en-NZ"/>
        </w:rPr>
      </w:pPr>
      <w:bookmarkStart w:id="0" w:name="_Ref210381742"/>
      <w:bookmarkStart w:id="1" w:name="_Toc210396416"/>
      <w:r w:rsidRPr="00CA47F4">
        <w:rPr>
          <w:rFonts w:ascii="Arial" w:hAnsi="Arial" w:cs="Arial"/>
          <w:lang w:val="en-NZ"/>
        </w:rPr>
        <w:t>Format for submissions</w:t>
      </w:r>
      <w:bookmarkEnd w:id="0"/>
      <w:bookmarkEnd w:id="1"/>
      <w:r w:rsidR="00785FD2" w:rsidRPr="00CA47F4">
        <w:rPr>
          <w:rFonts w:ascii="Arial" w:hAnsi="Arial" w:cs="Arial"/>
          <w:lang w:val="en-NZ"/>
        </w:rPr>
        <w:br/>
      </w:r>
      <w:r w:rsidR="00785FD2" w:rsidRPr="00C7481D">
        <w:rPr>
          <w:rFonts w:ascii="Arial" w:hAnsi="Arial" w:cs="Arial"/>
          <w:color w:val="auto"/>
          <w:sz w:val="24"/>
          <w:szCs w:val="24"/>
          <w:lang w:val="en-NZ"/>
        </w:rPr>
        <w:t>Maximising benefits from local generation</w:t>
      </w:r>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687"/>
        <w:gridCol w:w="6329"/>
      </w:tblGrid>
      <w:tr w:rsidR="008B512A" w:rsidRPr="00CA47F4" w14:paraId="01D5B594" w14:textId="77777777" w:rsidTr="006F0B68">
        <w:trPr>
          <w:cnfStyle w:val="100000000000" w:firstRow="1" w:lastRow="0" w:firstColumn="0" w:lastColumn="0" w:oddVBand="0" w:evenVBand="0" w:oddHBand="0" w:evenHBand="0" w:firstRowFirstColumn="0" w:firstRowLastColumn="0" w:lastRowFirstColumn="0" w:lastRowLastColumn="0"/>
        </w:trPr>
        <w:tc>
          <w:tcPr>
            <w:tcW w:w="2687" w:type="dxa"/>
          </w:tcPr>
          <w:p w14:paraId="2CF7884A"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Submitter</w:t>
            </w:r>
          </w:p>
        </w:tc>
        <w:tc>
          <w:tcPr>
            <w:tcW w:w="6329" w:type="dxa"/>
            <w:shd w:val="clear" w:color="auto" w:fill="F4F4F4"/>
          </w:tcPr>
          <w:p w14:paraId="2F343B5A" w14:textId="77777777" w:rsidR="008B512A" w:rsidRPr="00CA47F4" w:rsidRDefault="008B512A" w:rsidP="008B512A">
            <w:pPr>
              <w:spacing w:before="120" w:after="120" w:line="276" w:lineRule="auto"/>
              <w:rPr>
                <w:rFonts w:ascii="Arial" w:eastAsia="Arial" w:hAnsi="Arial" w:cs="Arial"/>
                <w:bCs/>
              </w:rPr>
            </w:pPr>
          </w:p>
        </w:tc>
      </w:tr>
      <w:tr w:rsidR="008B512A" w:rsidRPr="00CA47F4" w14:paraId="5F197B2A" w14:textId="77777777" w:rsidTr="006F0B68">
        <w:trPr>
          <w:cnfStyle w:val="000000100000" w:firstRow="0" w:lastRow="0" w:firstColumn="0" w:lastColumn="0" w:oddVBand="0" w:evenVBand="0" w:oddHBand="1" w:evenHBand="0" w:firstRowFirstColumn="0" w:firstRowLastColumn="0" w:lastRowFirstColumn="0" w:lastRowLastColumn="0"/>
        </w:trPr>
        <w:tc>
          <w:tcPr>
            <w:tcW w:w="2687" w:type="dxa"/>
          </w:tcPr>
          <w:p w14:paraId="7EA3A5FC"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Submitter’s organisation</w:t>
            </w:r>
          </w:p>
        </w:tc>
        <w:tc>
          <w:tcPr>
            <w:tcW w:w="6329" w:type="dxa"/>
          </w:tcPr>
          <w:p w14:paraId="6723AFBB" w14:textId="77777777" w:rsidR="008B512A" w:rsidRPr="00CA47F4" w:rsidRDefault="008B512A" w:rsidP="008B512A">
            <w:pPr>
              <w:spacing w:before="120" w:after="120" w:line="276" w:lineRule="auto"/>
              <w:rPr>
                <w:rFonts w:ascii="Arial" w:eastAsia="Arial" w:hAnsi="Arial" w:cs="Arial"/>
                <w:b/>
                <w:bCs/>
              </w:rPr>
            </w:pPr>
          </w:p>
        </w:tc>
      </w:tr>
    </w:tbl>
    <w:p w14:paraId="695AA60C" w14:textId="77777777" w:rsidR="008B512A" w:rsidRPr="00CA47F4" w:rsidRDefault="008B512A" w:rsidP="008B512A">
      <w:pPr>
        <w:rPr>
          <w:rFonts w:ascii="Arial" w:hAnsi="Arial" w:cs="Arial"/>
        </w:rPr>
      </w:pPr>
    </w:p>
    <w:p w14:paraId="790A2E7E" w14:textId="6EA42D33" w:rsidR="008B512A" w:rsidRPr="00CA47F4" w:rsidRDefault="008B512A" w:rsidP="008B512A">
      <w:pPr>
        <w:rPr>
          <w:rFonts w:ascii="Arial" w:hAnsi="Arial" w:cs="Arial"/>
        </w:rPr>
      </w:pPr>
      <w:r w:rsidRPr="00CA47F4">
        <w:rPr>
          <w:rFonts w:ascii="Arial" w:hAnsi="Arial" w:cs="Arial"/>
        </w:rPr>
        <w:t xml:space="preserve">Please </w:t>
      </w:r>
      <w:r w:rsidR="00CA47F4">
        <w:rPr>
          <w:rFonts w:ascii="Arial" w:hAnsi="Arial" w:cs="Arial"/>
        </w:rPr>
        <w:t>send</w:t>
      </w:r>
      <w:r w:rsidRPr="00CA47F4">
        <w:rPr>
          <w:rFonts w:ascii="Arial" w:hAnsi="Arial" w:cs="Arial"/>
        </w:rPr>
        <w:t xml:space="preserve"> your submission to </w:t>
      </w:r>
      <w:hyperlink r:id="rId11" w:history="1">
        <w:r w:rsidRPr="00CA47F4">
          <w:rPr>
            <w:rStyle w:val="Hyperlink"/>
            <w:rFonts w:ascii="Arial" w:hAnsi="Arial" w:cs="Arial"/>
          </w:rPr>
          <w:t>connection.feedback@ea.govt.nz</w:t>
        </w:r>
      </w:hyperlink>
      <w:r w:rsidRPr="00CA47F4">
        <w:rPr>
          <w:rFonts w:ascii="Arial" w:hAnsi="Arial" w:cs="Arial"/>
        </w:rPr>
        <w:t xml:space="preserve"> by </w:t>
      </w:r>
      <w:r w:rsidRPr="00CA47F4">
        <w:rPr>
          <w:rFonts w:ascii="Arial" w:hAnsi="Arial" w:cs="Arial"/>
          <w:b/>
          <w:bCs/>
        </w:rPr>
        <w:t xml:space="preserve">5pm, </w:t>
      </w:r>
      <w:r w:rsidR="00DB4B4E" w:rsidRPr="00CA47F4">
        <w:rPr>
          <w:rFonts w:ascii="Arial" w:hAnsi="Arial" w:cs="Arial"/>
          <w:b/>
          <w:bCs/>
        </w:rPr>
        <w:t xml:space="preserve">Wednesday </w:t>
      </w:r>
      <w:r w:rsidRPr="00CA47F4">
        <w:rPr>
          <w:rFonts w:ascii="Arial" w:hAnsi="Arial" w:cs="Arial"/>
          <w:b/>
          <w:bCs/>
        </w:rPr>
        <w:t xml:space="preserve">19 November 2025 </w:t>
      </w:r>
    </w:p>
    <w:tbl>
      <w:tblPr>
        <w:tblStyle w:val="EATable2"/>
        <w:tblW w:w="0" w:type="auto"/>
        <w:tblLook w:val="04A0" w:firstRow="1" w:lastRow="0" w:firstColumn="1" w:lastColumn="0" w:noHBand="0" w:noVBand="1"/>
      </w:tblPr>
      <w:tblGrid>
        <w:gridCol w:w="3541"/>
        <w:gridCol w:w="5475"/>
      </w:tblGrid>
      <w:tr w:rsidR="008B512A" w:rsidRPr="00CA47F4" w14:paraId="65EC4040" w14:textId="77777777" w:rsidTr="006F0B68">
        <w:trPr>
          <w:cnfStyle w:val="100000000000" w:firstRow="1" w:lastRow="0" w:firstColumn="0" w:lastColumn="0" w:oddVBand="0" w:evenVBand="0" w:oddHBand="0" w:evenHBand="0" w:firstRowFirstColumn="0" w:firstRowLastColumn="0" w:lastRowFirstColumn="0" w:lastRowLastColumn="0"/>
        </w:trPr>
        <w:tc>
          <w:tcPr>
            <w:tcW w:w="3541" w:type="dxa"/>
          </w:tcPr>
          <w:p w14:paraId="6F96D91D"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Questions</w:t>
            </w:r>
          </w:p>
        </w:tc>
        <w:tc>
          <w:tcPr>
            <w:tcW w:w="5475" w:type="dxa"/>
          </w:tcPr>
          <w:p w14:paraId="09142C18"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Comments</w:t>
            </w:r>
          </w:p>
        </w:tc>
      </w:tr>
      <w:tr w:rsidR="008B512A" w:rsidRPr="00CA47F4" w14:paraId="67CE7F15"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3369C58C"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Q1. What are your views on the proposal to set a default 10kW export limit for Part 1A applications? </w:t>
            </w:r>
          </w:p>
        </w:tc>
        <w:tc>
          <w:tcPr>
            <w:tcW w:w="5475" w:type="dxa"/>
          </w:tcPr>
          <w:p w14:paraId="7BCC4DB8" w14:textId="77777777" w:rsidR="008B512A" w:rsidRPr="00CA47F4" w:rsidRDefault="008B512A" w:rsidP="008B512A">
            <w:pPr>
              <w:spacing w:before="120" w:after="120" w:line="276" w:lineRule="auto"/>
              <w:rPr>
                <w:rFonts w:ascii="Arial" w:eastAsia="Arial" w:hAnsi="Arial" w:cs="Arial"/>
              </w:rPr>
            </w:pPr>
          </w:p>
        </w:tc>
      </w:tr>
      <w:tr w:rsidR="008B512A" w:rsidRPr="00CA47F4" w14:paraId="5A7DF8B0"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77EE308D"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Q2. What are your views on the Code clarifying that a distributor cannot limit the nameplate capacity of a Part 1A application, unless the capacity exceeds 10kW?</w:t>
            </w:r>
          </w:p>
        </w:tc>
        <w:tc>
          <w:tcPr>
            <w:tcW w:w="5475" w:type="dxa"/>
          </w:tcPr>
          <w:p w14:paraId="07C98EF5" w14:textId="77777777" w:rsidR="008B512A" w:rsidRPr="00CA47F4" w:rsidRDefault="008B512A" w:rsidP="008B512A">
            <w:pPr>
              <w:spacing w:before="120" w:after="120" w:line="276" w:lineRule="auto"/>
              <w:rPr>
                <w:rFonts w:ascii="Arial" w:eastAsia="Arial" w:hAnsi="Arial" w:cs="Arial"/>
              </w:rPr>
            </w:pPr>
          </w:p>
        </w:tc>
      </w:tr>
      <w:tr w:rsidR="008B512A" w:rsidRPr="00CA47F4" w14:paraId="5D63C0EA"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2DBA4DCF"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Q3. There are requirements for distributors in Proposal A1. Which of these do you support, or not support, and why?</w:t>
            </w:r>
          </w:p>
        </w:tc>
        <w:tc>
          <w:tcPr>
            <w:tcW w:w="5475" w:type="dxa"/>
          </w:tcPr>
          <w:p w14:paraId="5F47B7D1" w14:textId="77777777" w:rsidR="008B512A" w:rsidRPr="00CA47F4" w:rsidRDefault="008B512A" w:rsidP="008B512A">
            <w:pPr>
              <w:spacing w:before="120" w:after="120" w:line="276" w:lineRule="auto"/>
              <w:rPr>
                <w:rFonts w:ascii="Arial" w:eastAsia="Arial" w:hAnsi="Arial" w:cs="Arial"/>
              </w:rPr>
            </w:pPr>
          </w:p>
        </w:tc>
      </w:tr>
      <w:tr w:rsidR="008B512A" w:rsidRPr="00CA47F4" w14:paraId="25FDF432"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56ECB1BD"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Q4. What are your views on the proposal for industry to develop an export limits assessment methodology?</w:t>
            </w:r>
          </w:p>
        </w:tc>
        <w:tc>
          <w:tcPr>
            <w:tcW w:w="5475" w:type="dxa"/>
          </w:tcPr>
          <w:p w14:paraId="516B8C9B" w14:textId="77777777" w:rsidR="008B512A" w:rsidRPr="00CA47F4" w:rsidRDefault="008B512A" w:rsidP="008B512A">
            <w:pPr>
              <w:spacing w:before="120" w:after="120" w:line="276" w:lineRule="auto"/>
              <w:rPr>
                <w:rFonts w:ascii="Arial" w:eastAsia="Arial" w:hAnsi="Arial" w:cs="Arial"/>
              </w:rPr>
            </w:pPr>
          </w:p>
        </w:tc>
      </w:tr>
      <w:tr w:rsidR="008B512A" w:rsidRPr="00CA47F4" w14:paraId="612B874A"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1A8DEC7F"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Q5. What would you do differently in Proposal A1, if anything?</w:t>
            </w:r>
          </w:p>
        </w:tc>
        <w:tc>
          <w:tcPr>
            <w:tcW w:w="5475" w:type="dxa"/>
          </w:tcPr>
          <w:p w14:paraId="51B67ECE" w14:textId="77777777" w:rsidR="008B512A" w:rsidRPr="00CA47F4" w:rsidRDefault="008B512A" w:rsidP="008B512A">
            <w:pPr>
              <w:spacing w:before="120" w:after="120" w:line="276" w:lineRule="auto"/>
              <w:rPr>
                <w:rFonts w:ascii="Arial" w:eastAsia="Arial" w:hAnsi="Arial" w:cs="Arial"/>
              </w:rPr>
            </w:pPr>
          </w:p>
        </w:tc>
      </w:tr>
      <w:tr w:rsidR="008B512A" w:rsidRPr="00CA47F4" w14:paraId="36DCE44C"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5DF215A5"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Q6. What concerns, if any, do you have about requiring the 2024, rather than 2016, version of the inverter installation standard for Part 1A applications?</w:t>
            </w:r>
          </w:p>
        </w:tc>
        <w:tc>
          <w:tcPr>
            <w:tcW w:w="5475" w:type="dxa"/>
          </w:tcPr>
          <w:p w14:paraId="2B354D22" w14:textId="77777777" w:rsidR="008B512A" w:rsidRPr="00CA47F4" w:rsidRDefault="008B512A" w:rsidP="008B512A">
            <w:pPr>
              <w:spacing w:before="120" w:after="120" w:line="276" w:lineRule="auto"/>
              <w:rPr>
                <w:rFonts w:ascii="Arial" w:eastAsia="Arial" w:hAnsi="Arial" w:cs="Arial"/>
              </w:rPr>
            </w:pPr>
          </w:p>
        </w:tc>
      </w:tr>
      <w:tr w:rsidR="008B512A" w:rsidRPr="00CA47F4" w14:paraId="763248E6"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532F145F"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lastRenderedPageBreak/>
              <w:t>Q7. Do you support amending the New Zealand volt-watt and volt-var settings to match the Australian values for Part 1A applications - why or why not – what do you think are the implications?</w:t>
            </w:r>
          </w:p>
        </w:tc>
        <w:tc>
          <w:tcPr>
            <w:tcW w:w="5475" w:type="dxa"/>
          </w:tcPr>
          <w:p w14:paraId="502D5568" w14:textId="77777777" w:rsidR="008B512A" w:rsidRPr="00CA47F4" w:rsidRDefault="008B512A" w:rsidP="008B512A">
            <w:pPr>
              <w:spacing w:before="120" w:after="120" w:line="276" w:lineRule="auto"/>
              <w:rPr>
                <w:rFonts w:ascii="Arial" w:eastAsia="Arial" w:hAnsi="Arial" w:cs="Arial"/>
              </w:rPr>
            </w:pPr>
          </w:p>
        </w:tc>
      </w:tr>
      <w:tr w:rsidR="008B512A" w:rsidRPr="00CA47F4" w14:paraId="0780A1B3"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0223A2C2"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Q8. What would you do differently in Proposal A2, if anything?    </w:t>
            </w:r>
          </w:p>
        </w:tc>
        <w:tc>
          <w:tcPr>
            <w:tcW w:w="5475" w:type="dxa"/>
          </w:tcPr>
          <w:p w14:paraId="2C27A20D" w14:textId="77777777" w:rsidR="008B512A" w:rsidRPr="00CA47F4" w:rsidRDefault="008B512A" w:rsidP="008B512A">
            <w:pPr>
              <w:spacing w:before="120" w:after="120" w:line="276" w:lineRule="auto"/>
              <w:rPr>
                <w:rFonts w:ascii="Arial" w:eastAsia="Arial" w:hAnsi="Arial" w:cs="Arial"/>
              </w:rPr>
            </w:pPr>
          </w:p>
        </w:tc>
      </w:tr>
      <w:tr w:rsidR="008B512A" w:rsidRPr="00CA47F4" w14:paraId="6E919BBD"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6CC7F364"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Q9.  Do you have any concerns about the Authority citing the Australian disconnection settings for inverters when high voltage is sustained? </w:t>
            </w:r>
          </w:p>
        </w:tc>
        <w:tc>
          <w:tcPr>
            <w:tcW w:w="5475" w:type="dxa"/>
          </w:tcPr>
          <w:p w14:paraId="4DD13957" w14:textId="77777777" w:rsidR="008B512A" w:rsidRPr="00CA47F4" w:rsidRDefault="008B512A" w:rsidP="008B512A">
            <w:pPr>
              <w:spacing w:before="120" w:after="120" w:line="276" w:lineRule="auto"/>
              <w:rPr>
                <w:rFonts w:ascii="Arial" w:eastAsia="Arial" w:hAnsi="Arial" w:cs="Arial"/>
              </w:rPr>
            </w:pPr>
          </w:p>
        </w:tc>
      </w:tr>
      <w:tr w:rsidR="008B512A" w:rsidRPr="00CA47F4" w14:paraId="4D37CE7D"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63109965"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Q10. Do you have any concerns about the Authority requiring the latest version of the inverter performance standard for Part 1A applications?</w:t>
            </w:r>
          </w:p>
        </w:tc>
        <w:tc>
          <w:tcPr>
            <w:tcW w:w="5475" w:type="dxa"/>
          </w:tcPr>
          <w:p w14:paraId="0ED99BB9" w14:textId="77777777" w:rsidR="008B512A" w:rsidRPr="00CA47F4" w:rsidRDefault="008B512A" w:rsidP="008B512A">
            <w:pPr>
              <w:spacing w:before="120" w:after="120" w:line="276" w:lineRule="auto"/>
              <w:rPr>
                <w:rFonts w:ascii="Arial" w:eastAsia="Arial" w:hAnsi="Arial" w:cs="Arial"/>
              </w:rPr>
            </w:pPr>
          </w:p>
        </w:tc>
      </w:tr>
      <w:tr w:rsidR="008B512A" w:rsidRPr="00CA47F4" w14:paraId="03F440EB"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70F979C8"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Q11. What are your views on the proposal that where distributors set bespoke export limits for Part 2 applications, they must do so using the industry developed assessment methodology?</w:t>
            </w:r>
          </w:p>
        </w:tc>
        <w:tc>
          <w:tcPr>
            <w:tcW w:w="5475" w:type="dxa"/>
          </w:tcPr>
          <w:p w14:paraId="2DC1EED6" w14:textId="77777777" w:rsidR="008B512A" w:rsidRPr="00CA47F4" w:rsidRDefault="008B512A" w:rsidP="008B512A">
            <w:pPr>
              <w:spacing w:before="120" w:after="120" w:line="276" w:lineRule="auto"/>
              <w:rPr>
                <w:rFonts w:ascii="Arial" w:eastAsia="Arial" w:hAnsi="Arial" w:cs="Arial"/>
              </w:rPr>
            </w:pPr>
          </w:p>
        </w:tc>
      </w:tr>
      <w:tr w:rsidR="008B512A" w:rsidRPr="00CA47F4" w14:paraId="2205F31B"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4C6B1B30" w14:textId="537C5671"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Q12. What are your views on the several requirements that must be adhered to regarding the distributors’ documentation (see paragraph </w:t>
            </w:r>
            <w:r w:rsidRPr="00CA47F4">
              <w:rPr>
                <w:rFonts w:ascii="Arial" w:eastAsia="Arial" w:hAnsi="Arial" w:cs="Arial"/>
              </w:rPr>
              <w:fldChar w:fldCharType="begin"/>
            </w:r>
            <w:r w:rsidRPr="00CA47F4">
              <w:rPr>
                <w:rFonts w:ascii="Arial" w:eastAsia="Arial" w:hAnsi="Arial" w:cs="Arial"/>
              </w:rPr>
              <w:instrText xml:space="preserve"> REF _Ref209694580 \r \h </w:instrText>
            </w:r>
            <w:r w:rsidRPr="00CA47F4">
              <w:rPr>
                <w:rFonts w:ascii="Arial" w:eastAsia="Arial" w:hAnsi="Arial" w:cs="Arial"/>
              </w:rPr>
            </w:r>
            <w:r w:rsidR="00CA47F4">
              <w:rPr>
                <w:rFonts w:ascii="Arial" w:eastAsia="Arial" w:hAnsi="Arial" w:cs="Arial"/>
              </w:rPr>
              <w:instrText xml:space="preserve"> \* MERGEFORMAT </w:instrText>
            </w:r>
            <w:r w:rsidRPr="00CA47F4">
              <w:rPr>
                <w:rFonts w:ascii="Arial" w:eastAsia="Arial" w:hAnsi="Arial" w:cs="Arial"/>
              </w:rPr>
              <w:fldChar w:fldCharType="separate"/>
            </w:r>
            <w:r w:rsidRPr="00CA47F4">
              <w:rPr>
                <w:rFonts w:ascii="Arial" w:eastAsia="Arial" w:hAnsi="Arial" w:cs="Arial"/>
              </w:rPr>
              <w:t>5.96</w:t>
            </w:r>
            <w:r w:rsidRPr="00CA47F4">
              <w:rPr>
                <w:rFonts w:ascii="Arial" w:eastAsia="Arial" w:hAnsi="Arial" w:cs="Arial"/>
              </w:rPr>
              <w:fldChar w:fldCharType="end"/>
            </w:r>
            <w:r w:rsidRPr="00CA47F4">
              <w:rPr>
                <w:rFonts w:ascii="Arial" w:eastAsia="Arial" w:hAnsi="Arial" w:cs="Arial"/>
              </w:rPr>
              <w:t>) relating to setting export limits under Part 2?</w:t>
            </w:r>
          </w:p>
        </w:tc>
        <w:tc>
          <w:tcPr>
            <w:tcW w:w="5475" w:type="dxa"/>
          </w:tcPr>
          <w:p w14:paraId="43FED388" w14:textId="77777777" w:rsidR="008B512A" w:rsidRPr="00CA47F4" w:rsidRDefault="008B512A" w:rsidP="008B512A">
            <w:pPr>
              <w:spacing w:before="120" w:after="120" w:line="276" w:lineRule="auto"/>
              <w:rPr>
                <w:rFonts w:ascii="Arial" w:eastAsia="Arial" w:hAnsi="Arial" w:cs="Arial"/>
              </w:rPr>
            </w:pPr>
          </w:p>
        </w:tc>
      </w:tr>
      <w:tr w:rsidR="008B512A" w:rsidRPr="00CA47F4" w14:paraId="6D0B5C73"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594C1F76"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Q13. Do you agree it is fair and appropriate that where distributors set export limits for Part 2 applications, applicants can dispute the limit? If so, what sort of process should that entail?</w:t>
            </w:r>
          </w:p>
        </w:tc>
        <w:tc>
          <w:tcPr>
            <w:tcW w:w="5475" w:type="dxa"/>
          </w:tcPr>
          <w:p w14:paraId="585FC4BD" w14:textId="77777777" w:rsidR="008B512A" w:rsidRPr="00CA47F4" w:rsidRDefault="008B512A" w:rsidP="008B512A">
            <w:pPr>
              <w:spacing w:before="120" w:after="120" w:line="276" w:lineRule="auto"/>
              <w:rPr>
                <w:rFonts w:ascii="Arial" w:eastAsia="Arial" w:hAnsi="Arial" w:cs="Arial"/>
              </w:rPr>
            </w:pPr>
          </w:p>
        </w:tc>
      </w:tr>
      <w:tr w:rsidR="008B512A" w:rsidRPr="00CA47F4" w14:paraId="32313327"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67E6A727"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lastRenderedPageBreak/>
              <w:t xml:space="preserve">Q14. What would you do differently in Proposal B, if anything?    </w:t>
            </w:r>
          </w:p>
        </w:tc>
        <w:tc>
          <w:tcPr>
            <w:tcW w:w="5475" w:type="dxa"/>
          </w:tcPr>
          <w:p w14:paraId="16A77B48" w14:textId="77777777" w:rsidR="008B512A" w:rsidRPr="00CA47F4" w:rsidRDefault="008B512A" w:rsidP="008B512A">
            <w:pPr>
              <w:spacing w:before="120" w:after="120" w:line="276" w:lineRule="auto"/>
              <w:rPr>
                <w:rFonts w:ascii="Arial" w:eastAsia="Arial" w:hAnsi="Arial" w:cs="Arial"/>
              </w:rPr>
            </w:pPr>
          </w:p>
        </w:tc>
      </w:tr>
      <w:tr w:rsidR="008B512A" w:rsidRPr="00CA47F4" w14:paraId="3C76EC68"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24842946"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Q15. What are your thoughts on requiring the inverter performance standard (AS/NZS 4777.2:2020 incorporating Amendments 1 and 2) for low voltage DG applications in New Zealand?     </w:t>
            </w:r>
          </w:p>
        </w:tc>
        <w:tc>
          <w:tcPr>
            <w:tcW w:w="5475" w:type="dxa"/>
          </w:tcPr>
          <w:p w14:paraId="7D302E8E" w14:textId="77777777" w:rsidR="008B512A" w:rsidRPr="00CA47F4" w:rsidRDefault="008B512A" w:rsidP="008B512A">
            <w:pPr>
              <w:spacing w:before="120" w:after="120" w:line="276" w:lineRule="auto"/>
              <w:rPr>
                <w:rFonts w:ascii="Arial" w:eastAsia="Arial" w:hAnsi="Arial" w:cs="Arial"/>
              </w:rPr>
            </w:pPr>
          </w:p>
        </w:tc>
      </w:tr>
      <w:tr w:rsidR="008B512A" w:rsidRPr="00CA47F4" w14:paraId="1161BB66"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39581E22"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Q16. Do you consider the transitional arrangements workable regarding requirements and timeframes? If not, what arrangements would you prefer?</w:t>
            </w:r>
          </w:p>
        </w:tc>
        <w:tc>
          <w:tcPr>
            <w:tcW w:w="5475" w:type="dxa"/>
          </w:tcPr>
          <w:p w14:paraId="0488DBB7" w14:textId="77777777" w:rsidR="008B512A" w:rsidRPr="00CA47F4" w:rsidRDefault="008B512A" w:rsidP="008B512A">
            <w:pPr>
              <w:spacing w:before="120" w:after="120" w:line="276" w:lineRule="auto"/>
              <w:rPr>
                <w:rFonts w:ascii="Arial" w:eastAsia="Arial" w:hAnsi="Arial" w:cs="Arial"/>
              </w:rPr>
            </w:pPr>
          </w:p>
        </w:tc>
      </w:tr>
      <w:tr w:rsidR="008B512A" w:rsidRPr="00CA47F4" w14:paraId="5130101E"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6D5EE935"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Q17. What are your views on the objective of the proposed amendments?</w:t>
            </w:r>
          </w:p>
        </w:tc>
        <w:tc>
          <w:tcPr>
            <w:tcW w:w="5475" w:type="dxa"/>
          </w:tcPr>
          <w:p w14:paraId="6D257616" w14:textId="77777777" w:rsidR="008B512A" w:rsidRPr="00CA47F4" w:rsidRDefault="008B512A" w:rsidP="008B512A">
            <w:pPr>
              <w:spacing w:before="120" w:after="120" w:line="276" w:lineRule="auto"/>
              <w:rPr>
                <w:rFonts w:ascii="Arial" w:eastAsia="Arial" w:hAnsi="Arial" w:cs="Arial"/>
              </w:rPr>
            </w:pPr>
          </w:p>
        </w:tc>
      </w:tr>
      <w:tr w:rsidR="008B512A" w:rsidRPr="00CA47F4" w14:paraId="1ED481E8"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3BE73EEB"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Q18. Do you agree the benefits of the proposed amendments outweigh their costs? If not, why not?</w:t>
            </w:r>
          </w:p>
        </w:tc>
        <w:tc>
          <w:tcPr>
            <w:tcW w:w="5475" w:type="dxa"/>
          </w:tcPr>
          <w:p w14:paraId="3165860E" w14:textId="77777777" w:rsidR="008B512A" w:rsidRPr="00CA47F4" w:rsidRDefault="008B512A" w:rsidP="008B512A">
            <w:pPr>
              <w:spacing w:before="120" w:after="120" w:line="276" w:lineRule="auto"/>
              <w:rPr>
                <w:rFonts w:ascii="Arial" w:eastAsia="Arial" w:hAnsi="Arial" w:cs="Arial"/>
              </w:rPr>
            </w:pPr>
          </w:p>
        </w:tc>
      </w:tr>
      <w:tr w:rsidR="008B512A" w:rsidRPr="00CA47F4" w14:paraId="77FAD448"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59886B4F"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Q19. What are your views on the Authority’s estimate of costs of lost benefits from a 5kW export limit?</w:t>
            </w:r>
          </w:p>
        </w:tc>
        <w:tc>
          <w:tcPr>
            <w:tcW w:w="5475" w:type="dxa"/>
          </w:tcPr>
          <w:p w14:paraId="6189A138" w14:textId="77777777" w:rsidR="008B512A" w:rsidRPr="00CA47F4" w:rsidRDefault="008B512A" w:rsidP="008B512A">
            <w:pPr>
              <w:spacing w:before="120" w:after="120" w:line="276" w:lineRule="auto"/>
              <w:rPr>
                <w:rFonts w:ascii="Arial" w:eastAsia="Arial" w:hAnsi="Arial" w:cs="Arial"/>
              </w:rPr>
            </w:pPr>
          </w:p>
        </w:tc>
      </w:tr>
      <w:tr w:rsidR="008B512A" w:rsidRPr="00CA47F4" w14:paraId="5CEC6F64"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6CAEC06B"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Q20. Are there costs or benefits to any parties (</w:t>
            </w:r>
            <w:proofErr w:type="spellStart"/>
            <w:r w:rsidRPr="00CA47F4">
              <w:rPr>
                <w:rFonts w:ascii="Arial" w:eastAsia="Arial" w:hAnsi="Arial" w:cs="Arial"/>
              </w:rPr>
              <w:t>eg</w:t>
            </w:r>
            <w:proofErr w:type="spellEnd"/>
            <w:r w:rsidRPr="00CA47F4">
              <w:rPr>
                <w:rFonts w:ascii="Arial" w:eastAsia="Arial" w:hAnsi="Arial" w:cs="Arial"/>
              </w:rPr>
              <w:t>, distributors, DG owners, consumers, other industry stakeholders) not identified that need to be considered?</w:t>
            </w:r>
          </w:p>
        </w:tc>
        <w:tc>
          <w:tcPr>
            <w:tcW w:w="5475" w:type="dxa"/>
          </w:tcPr>
          <w:p w14:paraId="0718C93A" w14:textId="77777777" w:rsidR="008B512A" w:rsidRPr="00CA47F4" w:rsidRDefault="008B512A" w:rsidP="008B512A">
            <w:pPr>
              <w:spacing w:before="120" w:after="120" w:line="276" w:lineRule="auto"/>
              <w:rPr>
                <w:rFonts w:ascii="Arial" w:eastAsia="Arial" w:hAnsi="Arial" w:cs="Arial"/>
              </w:rPr>
            </w:pPr>
          </w:p>
        </w:tc>
      </w:tr>
      <w:tr w:rsidR="008B512A" w:rsidRPr="00CA47F4" w14:paraId="68E51B39"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757A2771"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 xml:space="preserve">Q21. Do you agree the proposed Code amendments are preferable to the other options? If you disagree, please explain your preferred option in terms consistent with the Authority’s main statutory objective in section </w:t>
            </w:r>
            <w:r w:rsidRPr="00CA47F4">
              <w:rPr>
                <w:rFonts w:ascii="Arial" w:eastAsia="Arial" w:hAnsi="Arial" w:cs="Arial"/>
              </w:rPr>
              <w:lastRenderedPageBreak/>
              <w:t>15 of the Electricity Industry Act 2010</w:t>
            </w:r>
          </w:p>
        </w:tc>
        <w:tc>
          <w:tcPr>
            <w:tcW w:w="5475" w:type="dxa"/>
          </w:tcPr>
          <w:p w14:paraId="6A480B44" w14:textId="77777777" w:rsidR="008B512A" w:rsidRPr="00CA47F4" w:rsidRDefault="008B512A" w:rsidP="008B512A">
            <w:pPr>
              <w:spacing w:before="120" w:after="120" w:line="276" w:lineRule="auto"/>
              <w:rPr>
                <w:rFonts w:ascii="Arial" w:eastAsia="Arial" w:hAnsi="Arial" w:cs="Arial"/>
              </w:rPr>
            </w:pPr>
          </w:p>
        </w:tc>
      </w:tr>
      <w:tr w:rsidR="008B512A" w:rsidRPr="00CA47F4" w14:paraId="3E05F32B" w14:textId="77777777" w:rsidTr="006F0B68">
        <w:trPr>
          <w:cnfStyle w:val="000000010000" w:firstRow="0" w:lastRow="0" w:firstColumn="0" w:lastColumn="0" w:oddVBand="0" w:evenVBand="0" w:oddHBand="0" w:evenHBand="1" w:firstRowFirstColumn="0" w:firstRowLastColumn="0" w:lastRowFirstColumn="0" w:lastRowLastColumn="0"/>
        </w:trPr>
        <w:tc>
          <w:tcPr>
            <w:tcW w:w="3541" w:type="dxa"/>
          </w:tcPr>
          <w:p w14:paraId="38524CA6"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Q22. Do you agree the Authority’s proposed amendments comply with section 32(1) of the Act?</w:t>
            </w:r>
          </w:p>
        </w:tc>
        <w:tc>
          <w:tcPr>
            <w:tcW w:w="5475" w:type="dxa"/>
          </w:tcPr>
          <w:p w14:paraId="48534835" w14:textId="77777777" w:rsidR="008B512A" w:rsidRPr="00CA47F4" w:rsidRDefault="008B512A" w:rsidP="008B512A">
            <w:pPr>
              <w:spacing w:before="120" w:after="120" w:line="276" w:lineRule="auto"/>
              <w:rPr>
                <w:rFonts w:ascii="Arial" w:eastAsia="Arial" w:hAnsi="Arial" w:cs="Arial"/>
              </w:rPr>
            </w:pPr>
          </w:p>
        </w:tc>
      </w:tr>
      <w:tr w:rsidR="008B512A" w:rsidRPr="00CA47F4" w14:paraId="324A0B46" w14:textId="77777777" w:rsidTr="006F0B68">
        <w:trPr>
          <w:cnfStyle w:val="000000100000" w:firstRow="0" w:lastRow="0" w:firstColumn="0" w:lastColumn="0" w:oddVBand="0" w:evenVBand="0" w:oddHBand="1" w:evenHBand="0" w:firstRowFirstColumn="0" w:firstRowLastColumn="0" w:lastRowFirstColumn="0" w:lastRowLastColumn="0"/>
        </w:trPr>
        <w:tc>
          <w:tcPr>
            <w:tcW w:w="3541" w:type="dxa"/>
          </w:tcPr>
          <w:p w14:paraId="054E9144" w14:textId="77777777" w:rsidR="008B512A" w:rsidRPr="00CA47F4" w:rsidRDefault="008B512A" w:rsidP="008B512A">
            <w:pPr>
              <w:spacing w:before="120" w:after="120" w:line="276" w:lineRule="auto"/>
              <w:rPr>
                <w:rFonts w:ascii="Arial" w:eastAsia="Arial" w:hAnsi="Arial" w:cs="Arial"/>
              </w:rPr>
            </w:pPr>
            <w:r w:rsidRPr="00CA47F4">
              <w:rPr>
                <w:rFonts w:ascii="Arial" w:eastAsia="Arial" w:hAnsi="Arial" w:cs="Arial"/>
              </w:rPr>
              <w:t>Q23. Do you have any comments on the drafting of the proposed amendment?</w:t>
            </w:r>
          </w:p>
        </w:tc>
        <w:tc>
          <w:tcPr>
            <w:tcW w:w="5475" w:type="dxa"/>
          </w:tcPr>
          <w:p w14:paraId="32278C9C" w14:textId="77777777" w:rsidR="008B512A" w:rsidRPr="00CA47F4" w:rsidRDefault="008B512A" w:rsidP="008B512A">
            <w:pPr>
              <w:spacing w:before="120" w:after="120" w:line="276" w:lineRule="auto"/>
              <w:rPr>
                <w:rFonts w:ascii="Arial" w:eastAsia="Arial" w:hAnsi="Arial" w:cs="Arial"/>
              </w:rPr>
            </w:pPr>
          </w:p>
        </w:tc>
      </w:tr>
    </w:tbl>
    <w:p w14:paraId="28BDC73D" w14:textId="77777777" w:rsidR="0037147D" w:rsidRPr="00CA47F4" w:rsidRDefault="0037147D" w:rsidP="00CA47F4">
      <w:pPr>
        <w:rPr>
          <w:rFonts w:ascii="Arial" w:hAnsi="Arial" w:cs="Arial"/>
        </w:rPr>
      </w:pPr>
    </w:p>
    <w:sectPr w:rsidR="0037147D" w:rsidRPr="00CA47F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707E" w14:textId="77777777" w:rsidR="00C720C2" w:rsidRDefault="00C720C2" w:rsidP="00CA47F4">
      <w:pPr>
        <w:spacing w:after="0" w:line="240" w:lineRule="auto"/>
      </w:pPr>
      <w:r>
        <w:separator/>
      </w:r>
    </w:p>
  </w:endnote>
  <w:endnote w:type="continuationSeparator" w:id="0">
    <w:p w14:paraId="7D7A876D" w14:textId="77777777" w:rsidR="00C720C2" w:rsidRDefault="00C720C2" w:rsidP="00CA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81AD" w14:textId="77777777" w:rsidR="00C720C2" w:rsidRDefault="00C720C2" w:rsidP="00CA47F4">
      <w:pPr>
        <w:spacing w:after="0" w:line="240" w:lineRule="auto"/>
      </w:pPr>
      <w:r>
        <w:separator/>
      </w:r>
    </w:p>
  </w:footnote>
  <w:footnote w:type="continuationSeparator" w:id="0">
    <w:p w14:paraId="4671FCD7" w14:textId="77777777" w:rsidR="00C720C2" w:rsidRDefault="00C720C2" w:rsidP="00CA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6A3F" w14:textId="249276E3" w:rsidR="00CA47F4" w:rsidRDefault="00CA47F4" w:rsidP="00CA47F4">
    <w:pPr>
      <w:pStyle w:val="Header"/>
      <w:jc w:val="right"/>
    </w:pPr>
    <w:r>
      <w:rPr>
        <w:noProof/>
      </w:rPr>
      <w:drawing>
        <wp:inline distT="0" distB="0" distL="0" distR="0" wp14:anchorId="21E7993D" wp14:editId="208F8E4C">
          <wp:extent cx="1592892" cy="766445"/>
          <wp:effectExtent l="0" t="0" r="0" b="0"/>
          <wp:docPr id="102696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63053" name="Picture 1026963053"/>
                  <pic:cNvPicPr/>
                </pic:nvPicPr>
                <pic:blipFill>
                  <a:blip r:embed="rId1">
                    <a:extLst>
                      <a:ext uri="{28A0092B-C50C-407E-A947-70E740481C1C}">
                        <a14:useLocalDpi xmlns:a14="http://schemas.microsoft.com/office/drawing/2010/main" val="0"/>
                      </a:ext>
                    </a:extLst>
                  </a:blip>
                  <a:stretch>
                    <a:fillRect/>
                  </a:stretch>
                </pic:blipFill>
                <pic:spPr>
                  <a:xfrm>
                    <a:off x="0" y="0"/>
                    <a:ext cx="1613157" cy="776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0F62"/>
    <w:multiLevelType w:val="multilevel"/>
    <w:tmpl w:val="16CCF768"/>
    <w:lvl w:ilvl="0">
      <w:start w:val="2"/>
      <w:numFmt w:val="upperLetter"/>
      <w:pStyle w:val="AppendixHeading"/>
      <w:lvlText w:val="Appendix %1"/>
      <w:lvlJc w:val="left"/>
      <w:pPr>
        <w:ind w:left="3119" w:hanging="2268"/>
      </w:pPr>
      <w:rPr>
        <w:rFonts w:hint="default"/>
      </w:rPr>
    </w:lvl>
    <w:lvl w:ilvl="1">
      <w:start w:val="1"/>
      <w:numFmt w:val="decimal"/>
      <w:pStyle w:val="AppendixParagraph"/>
      <w:lvlText w:val="%1.%2."/>
      <w:lvlJc w:val="left"/>
      <w:pPr>
        <w:ind w:left="-2155" w:hanging="680"/>
      </w:pPr>
      <w:rPr>
        <w:rFonts w:hint="default"/>
      </w:rPr>
    </w:lvl>
    <w:lvl w:ilvl="2">
      <w:start w:val="1"/>
      <w:numFmt w:val="lowerLetter"/>
      <w:lvlText w:val="%3."/>
      <w:lvlJc w:val="left"/>
      <w:pPr>
        <w:ind w:left="-1474" w:hanging="681"/>
      </w:pPr>
      <w:rPr>
        <w:rFonts w:hint="default"/>
      </w:rPr>
    </w:lvl>
    <w:lvl w:ilvl="3">
      <w:start w:val="1"/>
      <w:numFmt w:val="lowerRoman"/>
      <w:lvlText w:val="%4."/>
      <w:lvlJc w:val="left"/>
      <w:pPr>
        <w:ind w:left="-794" w:hanging="680"/>
      </w:pPr>
      <w:rPr>
        <w:rFonts w:hint="default"/>
      </w:rPr>
    </w:lvl>
    <w:lvl w:ilvl="4">
      <w:start w:val="1"/>
      <w:numFmt w:val="bullet"/>
      <w:lvlText w:val=""/>
      <w:lvlJc w:val="left"/>
      <w:pPr>
        <w:ind w:left="-113" w:hanging="681"/>
      </w:pPr>
      <w:rPr>
        <w:rFonts w:ascii="Wingdings" w:hAnsi="Wingdings" w:hint="default"/>
      </w:rPr>
    </w:lvl>
    <w:lvl w:ilvl="5">
      <w:start w:val="1"/>
      <w:numFmt w:val="decimal"/>
      <w:lvlText w:val="%1.%2.%3.%4.%5.%6."/>
      <w:lvlJc w:val="left"/>
      <w:pPr>
        <w:ind w:left="-99" w:hanging="936"/>
      </w:pPr>
      <w:rPr>
        <w:rFonts w:hint="default"/>
      </w:rPr>
    </w:lvl>
    <w:lvl w:ilvl="6">
      <w:start w:val="1"/>
      <w:numFmt w:val="decimal"/>
      <w:lvlText w:val="%1.%2.%3.%4.%5.%6.%7."/>
      <w:lvlJc w:val="left"/>
      <w:pPr>
        <w:ind w:left="405" w:hanging="1080"/>
      </w:pPr>
      <w:rPr>
        <w:rFonts w:hint="default"/>
      </w:rPr>
    </w:lvl>
    <w:lvl w:ilvl="7">
      <w:start w:val="1"/>
      <w:numFmt w:val="decimal"/>
      <w:lvlText w:val="%1.%2.%3.%4.%5.%6.%7.%8."/>
      <w:lvlJc w:val="left"/>
      <w:pPr>
        <w:ind w:left="909" w:hanging="1224"/>
      </w:pPr>
      <w:rPr>
        <w:rFonts w:hint="default"/>
      </w:rPr>
    </w:lvl>
    <w:lvl w:ilvl="8">
      <w:start w:val="1"/>
      <w:numFmt w:val="decimal"/>
      <w:lvlText w:val="%1.%2.%3.%4.%5.%6.%7.%8.%9."/>
      <w:lvlJc w:val="left"/>
      <w:pPr>
        <w:ind w:left="1485" w:hanging="1440"/>
      </w:pPr>
      <w:rPr>
        <w:rFonts w:hint="default"/>
      </w:rPr>
    </w:lvl>
  </w:abstractNum>
  <w:num w:numId="1" w16cid:durableId="25663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2A"/>
    <w:rsid w:val="000A2D43"/>
    <w:rsid w:val="001475FF"/>
    <w:rsid w:val="00217896"/>
    <w:rsid w:val="0037147D"/>
    <w:rsid w:val="00411485"/>
    <w:rsid w:val="0050523E"/>
    <w:rsid w:val="00650CAD"/>
    <w:rsid w:val="00762323"/>
    <w:rsid w:val="00785FD2"/>
    <w:rsid w:val="00824B9A"/>
    <w:rsid w:val="008B512A"/>
    <w:rsid w:val="00C720C2"/>
    <w:rsid w:val="00C7481D"/>
    <w:rsid w:val="00C95075"/>
    <w:rsid w:val="00CA47F4"/>
    <w:rsid w:val="00DB4B4E"/>
    <w:rsid w:val="00E73F3A"/>
    <w:rsid w:val="00E92260"/>
    <w:rsid w:val="00EF2D4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02964"/>
  <w15:chartTrackingRefBased/>
  <w15:docId w15:val="{610742E8-79F0-4F02-97AC-CC1DFD9D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NZ"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12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B512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B512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B5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2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B512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B512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B5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2A"/>
    <w:rPr>
      <w:rFonts w:eastAsiaTheme="majorEastAsia" w:cstheme="majorBidi"/>
      <w:color w:val="272727" w:themeColor="text1" w:themeTint="D8"/>
    </w:rPr>
  </w:style>
  <w:style w:type="paragraph" w:styleId="Title">
    <w:name w:val="Title"/>
    <w:basedOn w:val="Normal"/>
    <w:next w:val="Normal"/>
    <w:link w:val="TitleChar"/>
    <w:uiPriority w:val="10"/>
    <w:qFormat/>
    <w:rsid w:val="008B51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B51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B51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B51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B512A"/>
    <w:pPr>
      <w:spacing w:before="160"/>
      <w:jc w:val="center"/>
    </w:pPr>
    <w:rPr>
      <w:i/>
      <w:iCs/>
      <w:color w:val="404040" w:themeColor="text1" w:themeTint="BF"/>
    </w:rPr>
  </w:style>
  <w:style w:type="character" w:customStyle="1" w:styleId="QuoteChar">
    <w:name w:val="Quote Char"/>
    <w:basedOn w:val="DefaultParagraphFont"/>
    <w:link w:val="Quote"/>
    <w:uiPriority w:val="29"/>
    <w:rsid w:val="008B512A"/>
    <w:rPr>
      <w:i/>
      <w:iCs/>
      <w:color w:val="404040" w:themeColor="text1" w:themeTint="BF"/>
    </w:rPr>
  </w:style>
  <w:style w:type="paragraph" w:styleId="ListParagraph">
    <w:name w:val="List Paragraph"/>
    <w:basedOn w:val="Normal"/>
    <w:uiPriority w:val="34"/>
    <w:qFormat/>
    <w:rsid w:val="008B512A"/>
    <w:pPr>
      <w:ind w:left="720"/>
      <w:contextualSpacing/>
    </w:pPr>
  </w:style>
  <w:style w:type="character" w:styleId="IntenseEmphasis">
    <w:name w:val="Intense Emphasis"/>
    <w:basedOn w:val="DefaultParagraphFont"/>
    <w:uiPriority w:val="21"/>
    <w:qFormat/>
    <w:rsid w:val="008B512A"/>
    <w:rPr>
      <w:i/>
      <w:iCs/>
      <w:color w:val="0F4761" w:themeColor="accent1" w:themeShade="BF"/>
    </w:rPr>
  </w:style>
  <w:style w:type="paragraph" w:styleId="IntenseQuote">
    <w:name w:val="Intense Quote"/>
    <w:basedOn w:val="Normal"/>
    <w:next w:val="Normal"/>
    <w:link w:val="IntenseQuoteChar"/>
    <w:uiPriority w:val="30"/>
    <w:qFormat/>
    <w:rsid w:val="008B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12A"/>
    <w:rPr>
      <w:i/>
      <w:iCs/>
      <w:color w:val="0F4761" w:themeColor="accent1" w:themeShade="BF"/>
    </w:rPr>
  </w:style>
  <w:style w:type="character" w:styleId="IntenseReference">
    <w:name w:val="Intense Reference"/>
    <w:basedOn w:val="DefaultParagraphFont"/>
    <w:uiPriority w:val="32"/>
    <w:qFormat/>
    <w:rsid w:val="008B512A"/>
    <w:rPr>
      <w:b/>
      <w:bCs/>
      <w:smallCaps/>
      <w:color w:val="0F4761" w:themeColor="accent1" w:themeShade="BF"/>
      <w:spacing w:val="5"/>
    </w:rPr>
  </w:style>
  <w:style w:type="table" w:customStyle="1" w:styleId="EATable2">
    <w:name w:val="EA Table 2"/>
    <w:basedOn w:val="TableNormal"/>
    <w:uiPriority w:val="99"/>
    <w:rsid w:val="008B512A"/>
    <w:pPr>
      <w:spacing w:after="0" w:line="240" w:lineRule="auto"/>
    </w:pPr>
    <w:rPr>
      <w:kern w:val="0"/>
      <w:sz w:val="22"/>
      <w:szCs w:val="22"/>
      <w:lang w:bidi="ar-SA"/>
      <w14:ligatures w14:val="none"/>
    </w:r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cPr>
    </w:tblStylePr>
    <w:tblStylePr w:type="band1Horz">
      <w:tblPr/>
      <w:tcPr>
        <w:shd w:val="clear" w:color="auto" w:fill="F4F4F4"/>
      </w:tcPr>
    </w:tblStylePr>
    <w:tblStylePr w:type="band2Horz">
      <w:tblPr/>
      <w:tcPr>
        <w:shd w:val="clear" w:color="auto" w:fill="D7E1EF"/>
      </w:tcPr>
    </w:tblStylePr>
  </w:style>
  <w:style w:type="paragraph" w:customStyle="1" w:styleId="AppendixHeading">
    <w:name w:val="Appendix Heading"/>
    <w:basedOn w:val="Normal"/>
    <w:uiPriority w:val="9"/>
    <w:qFormat/>
    <w:rsid w:val="008B512A"/>
    <w:pPr>
      <w:keepNext/>
      <w:numPr>
        <w:numId w:val="1"/>
      </w:numPr>
      <w:spacing w:before="360" w:after="240" w:line="276" w:lineRule="auto"/>
      <w:outlineLvl w:val="0"/>
    </w:pPr>
    <w:rPr>
      <w:b/>
      <w:color w:val="1A6DAD"/>
      <w:kern w:val="0"/>
      <w:sz w:val="32"/>
      <w:szCs w:val="40"/>
      <w:lang w:val="mi-NZ" w:bidi="ar-SA"/>
      <w14:ligatures w14:val="none"/>
    </w:rPr>
  </w:style>
  <w:style w:type="paragraph" w:customStyle="1" w:styleId="AppendixParagraph">
    <w:name w:val="Appendix Paragraph"/>
    <w:uiPriority w:val="10"/>
    <w:qFormat/>
    <w:rsid w:val="008B512A"/>
    <w:pPr>
      <w:numPr>
        <w:ilvl w:val="1"/>
        <w:numId w:val="1"/>
      </w:numPr>
      <w:spacing w:before="120" w:after="120" w:line="259" w:lineRule="auto"/>
    </w:pPr>
    <w:rPr>
      <w:kern w:val="0"/>
      <w:sz w:val="22"/>
      <w:szCs w:val="22"/>
      <w:lang w:bidi="ar-SA"/>
      <w14:ligatures w14:val="none"/>
    </w:rPr>
  </w:style>
  <w:style w:type="character" w:styleId="Hyperlink">
    <w:name w:val="Hyperlink"/>
    <w:basedOn w:val="DefaultParagraphFont"/>
    <w:uiPriority w:val="99"/>
    <w:unhideWhenUsed/>
    <w:rsid w:val="008B512A"/>
    <w:rPr>
      <w:color w:val="467886" w:themeColor="hyperlink"/>
      <w:u w:val="single"/>
    </w:rPr>
  </w:style>
  <w:style w:type="paragraph" w:styleId="Header">
    <w:name w:val="header"/>
    <w:basedOn w:val="Normal"/>
    <w:link w:val="HeaderChar"/>
    <w:uiPriority w:val="99"/>
    <w:unhideWhenUsed/>
    <w:rsid w:val="00CA4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7F4"/>
  </w:style>
  <w:style w:type="paragraph" w:styleId="Footer">
    <w:name w:val="footer"/>
    <w:basedOn w:val="Normal"/>
    <w:link w:val="FooterChar"/>
    <w:uiPriority w:val="99"/>
    <w:unhideWhenUsed/>
    <w:rsid w:val="00CA4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ection.feedback@ea.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c9c7ac5-34f1-476b-9a83-564822f74aea">NWKPOL-544841753-6225</_dlc_DocId>
    <_dlc_DocIdUrl xmlns="4c9c7ac5-34f1-476b-9a83-564822f74aea">
      <Url>https://electricityauthority.sharepoint.com/sites/nwkpol/_layouts/15/DocIdRedir.aspx?ID=NWKPOL-544841753-6225</Url>
      <Description>NWKPOL-544841753-6225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38FC6B9C784145BB71A7C37DD53430" ma:contentTypeVersion="2" ma:contentTypeDescription="Create a new document." ma:contentTypeScope="" ma:versionID="491972437597a1c6aeab05da77d4495b">
  <xsd:schema xmlns:xsd="http://www.w3.org/2001/XMLSchema" xmlns:xs="http://www.w3.org/2001/XMLSchema" xmlns:p="http://schemas.microsoft.com/office/2006/metadata/properties" xmlns:ns2="4c9c7ac5-34f1-476b-9a83-564822f74aea" targetNamespace="http://schemas.microsoft.com/office/2006/metadata/properties" ma:root="true" ma:fieldsID="d47faded14059334bab0f2e6e120a6eb" ns2:_="">
    <xsd:import namespace="4c9c7ac5-34f1-476b-9a83-564822f74a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c7ac5-34f1-476b-9a83-564822f74a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771D2-6155-4C1D-8071-DE18E6DF1F91}">
  <ds:schemaRefs>
    <ds:schemaRef ds:uri="http://schemas.microsoft.com/sharepoint/events"/>
  </ds:schemaRefs>
</ds:datastoreItem>
</file>

<file path=customXml/itemProps2.xml><?xml version="1.0" encoding="utf-8"?>
<ds:datastoreItem xmlns:ds="http://schemas.openxmlformats.org/officeDocument/2006/customXml" ds:itemID="{41D93312-62FC-4F68-B2BF-B2652CB91D19}">
  <ds:schemaRefs>
    <ds:schemaRef ds:uri="http://schemas.microsoft.com/sharepoint/v3/contenttype/forms"/>
  </ds:schemaRefs>
</ds:datastoreItem>
</file>

<file path=customXml/itemProps3.xml><?xml version="1.0" encoding="utf-8"?>
<ds:datastoreItem xmlns:ds="http://schemas.openxmlformats.org/officeDocument/2006/customXml" ds:itemID="{689C57A7-BEB7-4962-83E7-2C1F083BDB43}">
  <ds:schemaRefs>
    <ds:schemaRef ds:uri="http://schemas.microsoft.com/office/2006/metadata/properties"/>
    <ds:schemaRef ds:uri="http://schemas.microsoft.com/office/infopath/2007/PartnerControls"/>
    <ds:schemaRef ds:uri="4c9c7ac5-34f1-476b-9a83-564822f74aea"/>
  </ds:schemaRefs>
</ds:datastoreItem>
</file>

<file path=customXml/itemProps4.xml><?xml version="1.0" encoding="utf-8"?>
<ds:datastoreItem xmlns:ds="http://schemas.openxmlformats.org/officeDocument/2006/customXml" ds:itemID="{0BA090B9-E25F-4167-8C03-298C2ABF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c7ac5-34f1-476b-9a83-564822f74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662c-557e-43a0-9ef4-ea4730eb3732}" enabled="1" method="Privilege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552</Words>
  <Characters>2872</Characters>
  <Application>Microsoft Office Word</Application>
  <DocSecurity>0</DocSecurity>
  <Lines>151</Lines>
  <Paragraphs>36</Paragraphs>
  <ScaleCrop>false</ScaleCrop>
  <HeadingPairs>
    <vt:vector size="2" baseType="variant">
      <vt:variant>
        <vt:lpstr>Title</vt:lpstr>
      </vt:variant>
      <vt:variant>
        <vt:i4>1</vt:i4>
      </vt:variant>
    </vt:vector>
  </HeadingPairs>
  <TitlesOfParts>
    <vt:vector size="1" baseType="lpstr">
      <vt:lpstr/>
    </vt:vector>
  </TitlesOfParts>
  <Company>Electricity Authority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Benvenuti</dc:creator>
  <cp:keywords/>
  <dc:description/>
  <cp:lastModifiedBy>Eleanor Wenman</cp:lastModifiedBy>
  <cp:revision>5</cp:revision>
  <dcterms:created xsi:type="dcterms:W3CDTF">2025-10-06T01:30:00Z</dcterms:created>
  <dcterms:modified xsi:type="dcterms:W3CDTF">2025-10-07T20:50:00Z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0x010100A338FC6B9C784145BB71A7C37DD53430</vt:lpwstr>
  </property>
  <property fmtid="{D5CDD505-2E9C-101B-9397-08002B2CF9AE}" pid="3" name="EACode">
    <vt:lpwstr>3;#Projects|9934e0e0-cf4d-4657-9294-7be4234b1d3d</vt:lpwstr>
  </property>
  <property fmtid="{D5CDD505-2E9C-101B-9397-08002B2CF9AE}" pid="4" name="o5bf2cb19629447f9a2359cc65ce1ab00">
    <vt:lpwstr>Projects|9934e0e0-cf4d-4657-9294-7be4234b1d3d</vt:lpwstr>
  </property>
  <property fmtid="{D5CDD505-2E9C-101B-9397-08002B2CF9AE}" pid="5" name="h1736067b4e84050a5044872bc775d0c0">
    <vt:lpwstr>Network Policy|0c71deee-d191-4214-a5d2-005a1e2da12f</vt:lpwstr>
  </property>
  <property fmtid="{D5CDD505-2E9C-101B-9397-08002B2CF9AE}" pid="6" name="MediaServiceImageTags">
    <vt:lpwstr/>
  </property>
  <property fmtid="{D5CDD505-2E9C-101B-9397-08002B2CF9AE}" pid="7" name="EAActivity">
    <vt:lpwstr>1;#Network Policy|0c71deee-d191-4214-a5d2-005a1e2da12f</vt:lpwstr>
  </property>
  <property fmtid="{D5CDD505-2E9C-101B-9397-08002B2CF9AE}" pid="8" name="lcf76f155ced4ddcb4097134ff3c332f">
    <vt:lpwstr/>
  </property>
  <property fmtid="{D5CDD505-2E9C-101B-9397-08002B2CF9AE}" pid="9" name="TaxCatchAll">
    <vt:lpwstr>1;#Network Policy|0c71deee-d191-4214-a5d2-005a1e2da12f;#3;#Projects|9934e0e0-cf4d-4657-9294-7be4234b1d3d</vt:lpwstr>
  </property>
  <property fmtid="{D5CDD505-2E9C-101B-9397-08002B2CF9AE}" pid="10" name="_dlc_DocIdItemGuid">
    <vt:lpwstr>338ecac7-55cf-4e6b-a632-6dd38a20b0b5</vt:lpwstr>
  </property>
</Properties>
</file>