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9C00" w14:textId="77777777" w:rsidR="00C84CAD" w:rsidRPr="00194778" w:rsidRDefault="00C84CAD" w:rsidP="00C84CAD">
      <w:pPr>
        <w:pStyle w:val="AppendixHeading"/>
      </w:pPr>
      <w:bookmarkStart w:id="0" w:name="_Toc2009660362"/>
      <w:bookmarkStart w:id="1" w:name="_Toc1527642609"/>
      <w:bookmarkStart w:id="2" w:name="_Toc211256469"/>
      <w:bookmarkStart w:id="3" w:name="_Ref211261191"/>
      <w:r w:rsidRPr="00194778">
        <w:t>Format for submissions</w:t>
      </w:r>
      <w:bookmarkEnd w:id="0"/>
      <w:bookmarkEnd w:id="1"/>
      <w:bookmarkEnd w:id="2"/>
      <w:bookmarkEnd w:id="3"/>
    </w:p>
    <w:tbl>
      <w:tblPr>
        <w:tblStyle w:val="EATable2"/>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2550"/>
        <w:gridCol w:w="6466"/>
      </w:tblGrid>
      <w:tr w:rsidR="00C84CAD" w14:paraId="586E6CBD" w14:textId="77777777" w:rsidTr="00227ACE">
        <w:trPr>
          <w:cnfStyle w:val="100000000000" w:firstRow="1" w:lastRow="0" w:firstColumn="0" w:lastColumn="0" w:oddVBand="0" w:evenVBand="0" w:oddHBand="0" w:evenHBand="0" w:firstRowFirstColumn="0" w:firstRowLastColumn="0" w:lastRowFirstColumn="0" w:lastRowLastColumn="0"/>
        </w:trPr>
        <w:tc>
          <w:tcPr>
            <w:tcW w:w="2552" w:type="dxa"/>
          </w:tcPr>
          <w:p w14:paraId="5C999B0B" w14:textId="77777777" w:rsidR="00C84CAD" w:rsidRPr="00AE2036" w:rsidRDefault="00C84CAD" w:rsidP="00227ACE">
            <w:r w:rsidRPr="00194778">
              <w:t>Submitter</w:t>
            </w:r>
          </w:p>
        </w:tc>
        <w:tc>
          <w:tcPr>
            <w:tcW w:w="6474" w:type="dxa"/>
            <w:shd w:val="clear" w:color="auto" w:fill="F4F4F4"/>
          </w:tcPr>
          <w:p w14:paraId="0BDDD62E" w14:textId="77777777" w:rsidR="00C84CAD" w:rsidRPr="00AE2036" w:rsidRDefault="00C84CAD" w:rsidP="00227ACE">
            <w:pPr>
              <w:rPr>
                <w:b w:val="0"/>
              </w:rPr>
            </w:pPr>
          </w:p>
        </w:tc>
      </w:tr>
    </w:tbl>
    <w:p w14:paraId="1F4E7A2F" w14:textId="77777777" w:rsidR="00C84CAD" w:rsidRPr="00AE2036" w:rsidRDefault="00C84CAD" w:rsidP="00C84CAD"/>
    <w:tbl>
      <w:tblPr>
        <w:tblStyle w:val="EATable2"/>
        <w:tblW w:w="0" w:type="auto"/>
        <w:tblLook w:val="04A0" w:firstRow="1" w:lastRow="0" w:firstColumn="1" w:lastColumn="0" w:noHBand="0" w:noVBand="1"/>
      </w:tblPr>
      <w:tblGrid>
        <w:gridCol w:w="3544"/>
        <w:gridCol w:w="5482"/>
      </w:tblGrid>
      <w:tr w:rsidR="00C84CAD" w14:paraId="603335F4" w14:textId="77777777" w:rsidTr="00227ACE">
        <w:trPr>
          <w:cnfStyle w:val="100000000000" w:firstRow="1" w:lastRow="0" w:firstColumn="0" w:lastColumn="0" w:oddVBand="0" w:evenVBand="0" w:oddHBand="0" w:evenHBand="0" w:firstRowFirstColumn="0" w:firstRowLastColumn="0" w:lastRowFirstColumn="0" w:lastRowLastColumn="0"/>
        </w:trPr>
        <w:tc>
          <w:tcPr>
            <w:tcW w:w="3544" w:type="dxa"/>
          </w:tcPr>
          <w:p w14:paraId="20B229A7" w14:textId="77777777" w:rsidR="00C84CAD" w:rsidRDefault="00C84CAD" w:rsidP="00227ACE">
            <w:r>
              <w:t>Questions</w:t>
            </w:r>
          </w:p>
        </w:tc>
        <w:tc>
          <w:tcPr>
            <w:tcW w:w="5482" w:type="dxa"/>
          </w:tcPr>
          <w:p w14:paraId="6DF4B791" w14:textId="77777777" w:rsidR="00C84CAD" w:rsidRDefault="00C84CAD" w:rsidP="00227ACE">
            <w:r>
              <w:t>Comments</w:t>
            </w:r>
          </w:p>
        </w:tc>
      </w:tr>
      <w:tr w:rsidR="00C84CAD" w14:paraId="32F6616D"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27A9AA48" w14:textId="77777777" w:rsidR="00C84CAD" w:rsidRPr="006C6555" w:rsidRDefault="00C84CAD" w:rsidP="00227ACE">
            <w:pPr>
              <w:tabs>
                <w:tab w:val="left" w:pos="1560"/>
              </w:tabs>
              <w:rPr>
                <w:b/>
              </w:rPr>
            </w:pPr>
            <w:r w:rsidRPr="006C6555">
              <w:rPr>
                <w:b/>
              </w:rPr>
              <w:t>Problem definition</w:t>
            </w:r>
          </w:p>
        </w:tc>
      </w:tr>
      <w:tr w:rsidR="00C84CAD" w14:paraId="10AA5537"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31046133" w14:textId="77777777" w:rsidR="00C84CAD" w:rsidRDefault="00C84CAD" w:rsidP="00227ACE">
            <w:r w:rsidRPr="004A15A7">
              <w:t>Q1.</w:t>
            </w:r>
            <w:r>
              <w:t xml:space="preserve"> </w:t>
            </w:r>
            <w:r w:rsidRPr="004A15A7">
              <w:t>Do you have any comments on our additional analysis of data to inform the problem definition? Do you have any new evidence to add to any of the elements of the problem definition?</w:t>
            </w:r>
          </w:p>
        </w:tc>
        <w:tc>
          <w:tcPr>
            <w:tcW w:w="5482" w:type="dxa"/>
          </w:tcPr>
          <w:p w14:paraId="1011A9C3" w14:textId="77777777" w:rsidR="00C84CAD" w:rsidRDefault="00C84CAD" w:rsidP="00227ACE"/>
        </w:tc>
      </w:tr>
      <w:tr w:rsidR="00C84CAD" w14:paraId="5053B4C9"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7193DB5F" w14:textId="77777777" w:rsidR="00C84CAD" w:rsidRPr="004E0098" w:rsidRDefault="00C84CAD" w:rsidP="00227ACE">
            <w:pPr>
              <w:rPr>
                <w:b/>
              </w:rPr>
            </w:pPr>
            <w:r w:rsidRPr="004E0098">
              <w:rPr>
                <w:b/>
                <w:bCs/>
              </w:rPr>
              <w:t>Level Playing Field options (options 1-4)</w:t>
            </w:r>
          </w:p>
        </w:tc>
      </w:tr>
      <w:tr w:rsidR="00C84CAD" w14:paraId="57DABA04"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364B64CD" w14:textId="77777777" w:rsidR="00C84CAD" w:rsidRDefault="00C84CAD" w:rsidP="00227ACE">
            <w:r w:rsidRPr="00DF2B6F">
              <w:t>Q2.</w:t>
            </w:r>
            <w:r>
              <w:t xml:space="preserve"> </w:t>
            </w:r>
            <w:r w:rsidRPr="00DF2B6F">
              <w:t>Do you have any new evidence that is relevant to the choice of level playing field interventions to address the identified competition issues?</w:t>
            </w:r>
          </w:p>
        </w:tc>
        <w:tc>
          <w:tcPr>
            <w:tcW w:w="5482" w:type="dxa"/>
          </w:tcPr>
          <w:p w14:paraId="0566E7E4" w14:textId="77777777" w:rsidR="00C84CAD" w:rsidRDefault="00C84CAD" w:rsidP="00227ACE"/>
        </w:tc>
      </w:tr>
      <w:tr w:rsidR="00C84CAD" w14:paraId="2E50CF6C"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7D1F2163" w14:textId="77777777" w:rsidR="00C84CAD" w:rsidRPr="00EF29A0" w:rsidRDefault="00C84CAD" w:rsidP="00227ACE">
            <w:pPr>
              <w:rPr>
                <w:b/>
              </w:rPr>
            </w:pPr>
            <w:r>
              <w:rPr>
                <w:b/>
                <w:bCs/>
              </w:rPr>
              <w:t>Approach to applying non-discrimination obligations</w:t>
            </w:r>
          </w:p>
        </w:tc>
      </w:tr>
      <w:tr w:rsidR="00C84CAD" w14:paraId="3C8AB331"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6D3230D5" w14:textId="77777777" w:rsidR="00C84CAD" w:rsidRDefault="00C84CAD" w:rsidP="00227ACE">
            <w:r w:rsidRPr="00C40805">
              <w:t>Q3.</w:t>
            </w:r>
            <w:r>
              <w:t xml:space="preserve"> </w:t>
            </w:r>
            <w:r w:rsidRPr="00962E92">
              <w:t>Do you have any feedback on our proposed approach to implementing principles-based non-discrimination requirements, as set out in</w:t>
            </w:r>
            <w:r>
              <w:t xml:space="preserve"> Chapter 5</w:t>
            </w:r>
            <w:r w:rsidRPr="00962E92">
              <w:t>? If you disagree with elements, how would you improve them?</w:t>
            </w:r>
          </w:p>
        </w:tc>
        <w:tc>
          <w:tcPr>
            <w:tcW w:w="5482" w:type="dxa"/>
          </w:tcPr>
          <w:p w14:paraId="398849F9" w14:textId="77777777" w:rsidR="00C84CAD" w:rsidRDefault="00C84CAD" w:rsidP="00227ACE"/>
        </w:tc>
      </w:tr>
      <w:tr w:rsidR="00C84CAD" w14:paraId="14FA52A2"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3009418F" w14:textId="77777777" w:rsidR="00C84CAD" w:rsidRDefault="00C84CAD" w:rsidP="00227ACE">
            <w:r w:rsidRPr="002611AB">
              <w:t>Q4.</w:t>
            </w:r>
            <w:r>
              <w:t xml:space="preserve"> </w:t>
            </w:r>
            <w:r w:rsidRPr="00F62E9C">
              <w:t>Do you agree that substituting an RPCA test for a requirement to develop an internal hedge portfolio will be more effective at ensuring non-discriminatory pricing than the proposals in the LPF Options paper? Why or why not?</w:t>
            </w:r>
          </w:p>
        </w:tc>
        <w:tc>
          <w:tcPr>
            <w:tcW w:w="5482" w:type="dxa"/>
          </w:tcPr>
          <w:p w14:paraId="6E24CDDC" w14:textId="77777777" w:rsidR="00C84CAD" w:rsidRDefault="00C84CAD" w:rsidP="00227ACE"/>
        </w:tc>
      </w:tr>
      <w:tr w:rsidR="00C84CAD" w:rsidRPr="00194778" w14:paraId="667EEEB2"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6240BEEE" w14:textId="77777777" w:rsidR="00C84CAD" w:rsidRPr="00194778" w:rsidRDefault="00C84CAD" w:rsidP="00227ACE">
            <w:r w:rsidRPr="002611AB">
              <w:t>Q5.</w:t>
            </w:r>
            <w:r>
              <w:t xml:space="preserve"> </w:t>
            </w:r>
            <w:r w:rsidRPr="002611AB">
              <w:t xml:space="preserve">Is our proposal around “uncommitted capacity” </w:t>
            </w:r>
            <w:r w:rsidRPr="002611AB">
              <w:lastRenderedPageBreak/>
              <w:t>workable? What suggestions do you have for improving it?</w:t>
            </w:r>
          </w:p>
        </w:tc>
        <w:tc>
          <w:tcPr>
            <w:tcW w:w="5482" w:type="dxa"/>
          </w:tcPr>
          <w:p w14:paraId="68E9A57F" w14:textId="77777777" w:rsidR="00C84CAD" w:rsidRPr="00194778" w:rsidRDefault="00C84CAD" w:rsidP="00227ACE"/>
        </w:tc>
      </w:tr>
      <w:tr w:rsidR="00C84CAD" w:rsidRPr="00194778" w14:paraId="4BD49582"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2E9822A5" w14:textId="77777777" w:rsidR="00C84CAD" w:rsidRPr="00194778" w:rsidRDefault="00C84CAD" w:rsidP="00227ACE">
            <w:r w:rsidRPr="00965D21">
              <w:t>Q6.</w:t>
            </w:r>
            <w:r>
              <w:t xml:space="preserve"> </w:t>
            </w:r>
            <w:r w:rsidRPr="00965D21">
              <w:t>Do you have any further evidence, particularly relating to costs or incentives, about the impact of applying NDOs to all risk management contracts rather than just super-peak hedges?</w:t>
            </w:r>
          </w:p>
        </w:tc>
        <w:tc>
          <w:tcPr>
            <w:tcW w:w="5482" w:type="dxa"/>
          </w:tcPr>
          <w:p w14:paraId="1D75D0B6" w14:textId="77777777" w:rsidR="00C84CAD" w:rsidRPr="00194778" w:rsidRDefault="00C84CAD" w:rsidP="00227ACE"/>
        </w:tc>
      </w:tr>
      <w:tr w:rsidR="00C84CAD" w:rsidRPr="00194778" w14:paraId="71807BCE"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35786954" w14:textId="77777777" w:rsidR="00C84CAD" w:rsidRPr="00194778" w:rsidRDefault="00C84CAD" w:rsidP="00227ACE">
            <w:r w:rsidRPr="00965D21">
              <w:t>Q7.</w:t>
            </w:r>
            <w:r>
              <w:t xml:space="preserve"> </w:t>
            </w:r>
            <w:r w:rsidRPr="00965D21">
              <w:t>Should large users be included as buyers under the NDOs? If so, is a carve out needed for risk management contracts approved under the MLC regime?</w:t>
            </w:r>
          </w:p>
        </w:tc>
        <w:tc>
          <w:tcPr>
            <w:tcW w:w="5482" w:type="dxa"/>
          </w:tcPr>
          <w:p w14:paraId="676D91D5" w14:textId="77777777" w:rsidR="00C84CAD" w:rsidRPr="00194778" w:rsidRDefault="00C84CAD" w:rsidP="00227ACE"/>
        </w:tc>
      </w:tr>
      <w:tr w:rsidR="00C84CAD" w:rsidRPr="00194778" w14:paraId="51411063"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691A8F76" w14:textId="77777777" w:rsidR="00C84CAD" w:rsidRPr="00194778" w:rsidRDefault="00C84CAD" w:rsidP="00227ACE">
            <w:r w:rsidRPr="002934F2">
              <w:t>Q8.</w:t>
            </w:r>
            <w:r>
              <w:t xml:space="preserve"> </w:t>
            </w:r>
            <w:r w:rsidRPr="002934F2">
              <w:t>Should the OTC Electricity Market Working Group be reconvened to assess whether any amendments might be made to the voluntary OTC Code of Conduct to reflect the proposed non-discrimination regime?</w:t>
            </w:r>
          </w:p>
        </w:tc>
        <w:tc>
          <w:tcPr>
            <w:tcW w:w="5482" w:type="dxa"/>
          </w:tcPr>
          <w:p w14:paraId="3AFE84FF" w14:textId="77777777" w:rsidR="00C84CAD" w:rsidRPr="00194778" w:rsidRDefault="00C84CAD" w:rsidP="00227ACE"/>
        </w:tc>
      </w:tr>
      <w:tr w:rsidR="00C84CAD" w:rsidRPr="00194778" w14:paraId="2CE57239"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481E996E" w14:textId="77777777" w:rsidR="00C84CAD" w:rsidRPr="00194778" w:rsidRDefault="00C84CAD" w:rsidP="00227ACE">
            <w:r w:rsidRPr="002934F2">
              <w:t>Q9.</w:t>
            </w:r>
            <w:r>
              <w:t xml:space="preserve"> </w:t>
            </w:r>
            <w:r w:rsidRPr="002934F2">
              <w:t>Should investment in new flexible generation assets be carved out from the proposed NDOs? Why or why not? If you think new investment should be ringfenced, please provide details of how you suggest any carve outs be implemented</w:t>
            </w:r>
            <w:r w:rsidRPr="00965D21">
              <w:t>.</w:t>
            </w:r>
          </w:p>
        </w:tc>
        <w:tc>
          <w:tcPr>
            <w:tcW w:w="5482" w:type="dxa"/>
          </w:tcPr>
          <w:p w14:paraId="58F0E747" w14:textId="77777777" w:rsidR="00C84CAD" w:rsidRPr="00194778" w:rsidRDefault="00C84CAD" w:rsidP="00227ACE"/>
        </w:tc>
      </w:tr>
      <w:tr w:rsidR="00C84CAD" w:rsidRPr="00194778" w14:paraId="6C14F0CA"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795BCFF7" w14:textId="77777777" w:rsidR="00C84CAD" w:rsidRPr="00194778" w:rsidRDefault="00C84CAD" w:rsidP="00227ACE">
            <w:r w:rsidRPr="002934F2">
              <w:t>Q10.</w:t>
            </w:r>
            <w:r>
              <w:t xml:space="preserve"> </w:t>
            </w:r>
            <w:r w:rsidRPr="002934F2">
              <w:t>What impact do you think the revised NDOs will have on retail prices and/or incentives to invest in generation? How does this compare to the impacts you posited in response to the LPF Options paper? Can you share any evidence that supports your view?</w:t>
            </w:r>
          </w:p>
        </w:tc>
        <w:tc>
          <w:tcPr>
            <w:tcW w:w="5482" w:type="dxa"/>
          </w:tcPr>
          <w:p w14:paraId="52464013" w14:textId="77777777" w:rsidR="00C84CAD" w:rsidRPr="00194778" w:rsidRDefault="00C84CAD" w:rsidP="00227ACE"/>
        </w:tc>
      </w:tr>
      <w:tr w:rsidR="00C84CAD" w:rsidRPr="00194778" w14:paraId="4818A8E5" w14:textId="77777777" w:rsidTr="00227ACE">
        <w:trPr>
          <w:cnfStyle w:val="000000010000" w:firstRow="0" w:lastRow="0" w:firstColumn="0" w:lastColumn="0" w:oddVBand="0" w:evenVBand="0" w:oddHBand="0" w:evenHBand="1" w:firstRowFirstColumn="0" w:firstRowLastColumn="0" w:lastRowFirstColumn="0" w:lastRowLastColumn="0"/>
        </w:trPr>
        <w:tc>
          <w:tcPr>
            <w:tcW w:w="9026" w:type="dxa"/>
            <w:gridSpan w:val="2"/>
          </w:tcPr>
          <w:p w14:paraId="7A66780E" w14:textId="77777777" w:rsidR="00C84CAD" w:rsidRPr="00E56343" w:rsidRDefault="00C84CAD" w:rsidP="00227ACE">
            <w:pPr>
              <w:rPr>
                <w:b/>
              </w:rPr>
            </w:pPr>
            <w:r w:rsidRPr="00E56343">
              <w:rPr>
                <w:b/>
                <w:bCs/>
              </w:rPr>
              <w:t xml:space="preserve">Retail price consistency assessment </w:t>
            </w:r>
          </w:p>
        </w:tc>
      </w:tr>
      <w:tr w:rsidR="00C84CAD" w:rsidRPr="00194778" w14:paraId="1E0BD561"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7514441C" w14:textId="77777777" w:rsidR="00C84CAD" w:rsidRPr="00194778" w:rsidRDefault="00C84CAD" w:rsidP="00227ACE">
            <w:r w:rsidRPr="00A3640D">
              <w:t>Q11.</w:t>
            </w:r>
            <w:r>
              <w:t xml:space="preserve"> </w:t>
            </w:r>
            <w:r w:rsidRPr="00A3640D">
              <w:t xml:space="preserve">Do you agree that by providing transparency on </w:t>
            </w:r>
            <w:r w:rsidRPr="00A3640D">
              <w:lastRenderedPageBreak/>
              <w:t>margins, the RPCA would materially improve stakeholders’ confidence that retailers compete on a LPF for the long-term benefit of consumers? If not, why? Can you share any evidence that supports your view? How could we adjust the test to further improve confidence?</w:t>
            </w:r>
          </w:p>
        </w:tc>
        <w:tc>
          <w:tcPr>
            <w:tcW w:w="5482" w:type="dxa"/>
          </w:tcPr>
          <w:p w14:paraId="2585EE18" w14:textId="77777777" w:rsidR="00C84CAD" w:rsidRPr="00194778" w:rsidRDefault="00C84CAD" w:rsidP="00227ACE"/>
        </w:tc>
      </w:tr>
      <w:tr w:rsidR="00C84CAD" w:rsidRPr="00194778" w14:paraId="4FA54A7C"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4705A8BA" w14:textId="77777777" w:rsidR="00C84CAD" w:rsidRPr="00194778" w:rsidRDefault="00C84CAD" w:rsidP="00227ACE">
            <w:r w:rsidRPr="0008566E">
              <w:t>Q12.</w:t>
            </w:r>
            <w:r>
              <w:t xml:space="preserve"> </w:t>
            </w:r>
            <w:r w:rsidRPr="00A3640D">
              <w:t>What impact do you think the RPCA will have on retail prices and incentives to invest in generation? How does this compare to the impacts you posited in response in the LPF Options paper? Can you share any evidence that supports your view?</w:t>
            </w:r>
          </w:p>
        </w:tc>
        <w:tc>
          <w:tcPr>
            <w:tcW w:w="5482" w:type="dxa"/>
          </w:tcPr>
          <w:p w14:paraId="3F26D424" w14:textId="77777777" w:rsidR="00C84CAD" w:rsidRPr="00194778" w:rsidRDefault="00C84CAD" w:rsidP="00227ACE"/>
        </w:tc>
      </w:tr>
      <w:tr w:rsidR="00C84CAD" w:rsidRPr="00194778" w14:paraId="797BC6AB"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132755FC" w14:textId="77777777" w:rsidR="00C84CAD" w:rsidRPr="00194778" w:rsidRDefault="00C84CAD" w:rsidP="00227ACE">
            <w:r w:rsidRPr="0008566E">
              <w:t>Q13.</w:t>
            </w:r>
            <w:r>
              <w:t xml:space="preserve"> </w:t>
            </w:r>
            <w:r w:rsidRPr="0008566E">
              <w:t>How could the proposed approach to the RPCA be improved?</w:t>
            </w:r>
          </w:p>
        </w:tc>
        <w:tc>
          <w:tcPr>
            <w:tcW w:w="5482" w:type="dxa"/>
          </w:tcPr>
          <w:p w14:paraId="671A5D57" w14:textId="77777777" w:rsidR="00C84CAD" w:rsidRPr="00194778" w:rsidRDefault="00C84CAD" w:rsidP="00227ACE"/>
        </w:tc>
      </w:tr>
      <w:tr w:rsidR="00C84CAD" w:rsidRPr="00194778" w14:paraId="509C50CB"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1C8175D3" w14:textId="77777777" w:rsidR="00C84CAD" w:rsidRPr="00194778" w:rsidRDefault="00C84CAD" w:rsidP="00227ACE">
            <w:r w:rsidRPr="0008566E">
              <w:t>Q14.</w:t>
            </w:r>
            <w:r>
              <w:t xml:space="preserve"> </w:t>
            </w:r>
            <w:r w:rsidRPr="0008566E">
              <w:t xml:space="preserve">How often should gentailers make and disclose their assessment – should it be </w:t>
            </w:r>
            <w:proofErr w:type="gramStart"/>
            <w:r w:rsidRPr="0008566E">
              <w:t>more or less frequent</w:t>
            </w:r>
            <w:proofErr w:type="gramEnd"/>
            <w:r w:rsidRPr="0008566E">
              <w:t xml:space="preserve"> than every six months, and why?</w:t>
            </w:r>
          </w:p>
        </w:tc>
        <w:tc>
          <w:tcPr>
            <w:tcW w:w="5482" w:type="dxa"/>
          </w:tcPr>
          <w:p w14:paraId="2D91E21D" w14:textId="77777777" w:rsidR="00C84CAD" w:rsidRPr="00194778" w:rsidRDefault="00C84CAD" w:rsidP="00227ACE"/>
        </w:tc>
      </w:tr>
      <w:tr w:rsidR="00C84CAD" w:rsidRPr="00194778" w14:paraId="3A9C3570"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17D468EB" w14:textId="77777777" w:rsidR="00C84CAD" w:rsidRPr="00194778" w:rsidRDefault="00C84CAD" w:rsidP="00227ACE">
            <w:r w:rsidRPr="0008566E">
              <w:t>Q15.</w:t>
            </w:r>
            <w:r>
              <w:t xml:space="preserve"> </w:t>
            </w:r>
            <w:r w:rsidRPr="0008566E">
              <w:t>Would it be sufficient for the Authority to provide gentailers with guidance on the methodology for the RPCA or should it be prescribed in the Code, and why?</w:t>
            </w:r>
          </w:p>
        </w:tc>
        <w:tc>
          <w:tcPr>
            <w:tcW w:w="5482" w:type="dxa"/>
          </w:tcPr>
          <w:p w14:paraId="4AC9CBCC" w14:textId="77777777" w:rsidR="00C84CAD" w:rsidRPr="00194778" w:rsidRDefault="00C84CAD" w:rsidP="00227ACE"/>
        </w:tc>
      </w:tr>
      <w:tr w:rsidR="00C84CAD" w:rsidRPr="00194778" w14:paraId="14CCC6BD"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15BAEBD9" w14:textId="77777777" w:rsidR="00C84CAD" w:rsidRPr="00194778" w:rsidRDefault="00C84CAD" w:rsidP="00227ACE">
            <w:pPr>
              <w:tabs>
                <w:tab w:val="left" w:pos="1125"/>
              </w:tabs>
            </w:pPr>
            <w:r w:rsidRPr="0008566E">
              <w:t>Q16.</w:t>
            </w:r>
            <w:r>
              <w:t xml:space="preserve"> </w:t>
            </w:r>
            <w:r w:rsidRPr="0008566E">
              <w:t>If you do not support the RPCA approach, what would you propose instead to demonstrate compliance with non-discrimination principles?</w:t>
            </w:r>
          </w:p>
        </w:tc>
        <w:tc>
          <w:tcPr>
            <w:tcW w:w="5482" w:type="dxa"/>
          </w:tcPr>
          <w:p w14:paraId="3EF6955C" w14:textId="77777777" w:rsidR="00C84CAD" w:rsidRPr="00194778" w:rsidRDefault="00C84CAD" w:rsidP="00227ACE"/>
        </w:tc>
      </w:tr>
      <w:tr w:rsidR="00C84CAD" w:rsidRPr="00194778" w14:paraId="4B90C2DF"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0EF0EBBF" w14:textId="77777777" w:rsidR="00C84CAD" w:rsidRPr="00EA5D87" w:rsidRDefault="00C84CAD" w:rsidP="00227ACE">
            <w:pPr>
              <w:rPr>
                <w:b/>
              </w:rPr>
            </w:pPr>
            <w:r w:rsidRPr="00EA5D87">
              <w:rPr>
                <w:b/>
              </w:rPr>
              <w:t>Implementation pathway</w:t>
            </w:r>
          </w:p>
        </w:tc>
      </w:tr>
      <w:tr w:rsidR="00C84CAD" w:rsidRPr="00194778" w14:paraId="3CC77AF2"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0B90BF9B" w14:textId="77777777" w:rsidR="00C84CAD" w:rsidRPr="00194778" w:rsidRDefault="00C84CAD" w:rsidP="00227ACE">
            <w:r w:rsidRPr="00EA5D87">
              <w:t>Q17.</w:t>
            </w:r>
            <w:r>
              <w:t xml:space="preserve"> </w:t>
            </w:r>
            <w:r w:rsidRPr="00EA5D87">
              <w:t>Is the proposed implementation timeline achievable?</w:t>
            </w:r>
          </w:p>
        </w:tc>
        <w:tc>
          <w:tcPr>
            <w:tcW w:w="5482" w:type="dxa"/>
          </w:tcPr>
          <w:p w14:paraId="4B134193" w14:textId="77777777" w:rsidR="00C84CAD" w:rsidRPr="00194778" w:rsidRDefault="00C84CAD" w:rsidP="00227ACE"/>
        </w:tc>
      </w:tr>
      <w:tr w:rsidR="00C84CAD" w:rsidRPr="00194778" w14:paraId="44AF59E4"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4BC467E3" w14:textId="77777777" w:rsidR="00C84CAD" w:rsidRPr="00194778" w:rsidRDefault="00C84CAD" w:rsidP="00227ACE">
            <w:r w:rsidRPr="00EA5D87">
              <w:lastRenderedPageBreak/>
              <w:t>Q18.</w:t>
            </w:r>
            <w:r>
              <w:t xml:space="preserve"> </w:t>
            </w:r>
            <w:r w:rsidRPr="00EA5D87">
              <w:t xml:space="preserve">Should the Authority consider adding or removing any </w:t>
            </w:r>
            <w:proofErr w:type="gramStart"/>
            <w:r w:rsidRPr="00EA5D87">
              <w:t>particular steps</w:t>
            </w:r>
            <w:proofErr w:type="gramEnd"/>
            <w:r w:rsidRPr="00EA5D87">
              <w:t>, or providing more or less time at any point?</w:t>
            </w:r>
          </w:p>
        </w:tc>
        <w:tc>
          <w:tcPr>
            <w:tcW w:w="5482" w:type="dxa"/>
          </w:tcPr>
          <w:p w14:paraId="48D23E5D" w14:textId="77777777" w:rsidR="00C84CAD" w:rsidRPr="00194778" w:rsidRDefault="00C84CAD" w:rsidP="00227ACE"/>
        </w:tc>
      </w:tr>
      <w:tr w:rsidR="00C84CAD" w:rsidRPr="00194778" w14:paraId="0885B582"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16184D15" w14:textId="77777777" w:rsidR="00C84CAD" w:rsidRPr="00194778" w:rsidRDefault="00C84CAD" w:rsidP="00227ACE">
            <w:r w:rsidRPr="00EA5D87">
              <w:t>Q19.</w:t>
            </w:r>
            <w:r>
              <w:t xml:space="preserve"> </w:t>
            </w:r>
            <w:r w:rsidRPr="00EA5D87">
              <w:t>Does the proposed approach to implementation provide the right balance between certainty, transparency and flexibility to allow gentailers to demonstrate their compliance with the non-discrimination obligations, and to provide an appropriate basis for enforcement action if they do not?</w:t>
            </w:r>
          </w:p>
        </w:tc>
        <w:tc>
          <w:tcPr>
            <w:tcW w:w="5482" w:type="dxa"/>
          </w:tcPr>
          <w:p w14:paraId="3D51DC85" w14:textId="77777777" w:rsidR="00C84CAD" w:rsidRPr="00194778" w:rsidRDefault="00C84CAD" w:rsidP="00227ACE"/>
        </w:tc>
      </w:tr>
      <w:tr w:rsidR="00C84CAD" w:rsidRPr="00194778" w14:paraId="2F9BFA50"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0C90F1E1" w14:textId="77777777" w:rsidR="00C84CAD" w:rsidRPr="00EA5D87" w:rsidRDefault="00C84CAD" w:rsidP="00227ACE">
            <w:pPr>
              <w:rPr>
                <w:b/>
              </w:rPr>
            </w:pPr>
            <w:r w:rsidRPr="00EA5D87">
              <w:rPr>
                <w:b/>
                <w:bCs/>
              </w:rPr>
              <w:t>Escalation pathway</w:t>
            </w:r>
          </w:p>
        </w:tc>
      </w:tr>
      <w:tr w:rsidR="00C84CAD" w:rsidRPr="00194778" w14:paraId="23D1D25B"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0DDEA409" w14:textId="77777777" w:rsidR="00C84CAD" w:rsidRPr="00194778" w:rsidRDefault="00C84CAD" w:rsidP="00227ACE">
            <w:r w:rsidRPr="00EA5D87">
              <w:t>Q20.</w:t>
            </w:r>
            <w:r>
              <w:t xml:space="preserve"> </w:t>
            </w:r>
            <w:r w:rsidRPr="00EA5D87">
              <w:t>Do you support the revised approach of incrementally creating more specification for NDOs or the RPCA as required? Why or why not?</w:t>
            </w:r>
          </w:p>
        </w:tc>
        <w:tc>
          <w:tcPr>
            <w:tcW w:w="5482" w:type="dxa"/>
          </w:tcPr>
          <w:p w14:paraId="31479FFF" w14:textId="77777777" w:rsidR="00C84CAD" w:rsidRPr="00194778" w:rsidRDefault="00C84CAD" w:rsidP="00227ACE"/>
        </w:tc>
      </w:tr>
      <w:tr w:rsidR="00C84CAD" w:rsidRPr="00194778" w14:paraId="4A92F9F1"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437FA2EF" w14:textId="77777777" w:rsidR="00C84CAD" w:rsidRPr="00194778" w:rsidRDefault="00C84CAD" w:rsidP="00227ACE">
            <w:r w:rsidRPr="00EA5D87">
              <w:t>Q21.</w:t>
            </w:r>
            <w:r>
              <w:t xml:space="preserve"> </w:t>
            </w:r>
            <w:r w:rsidRPr="00EA5D87">
              <w:t xml:space="preserve">What are your views on the proposed approach to the </w:t>
            </w:r>
            <w:r>
              <w:t>escalation</w:t>
            </w:r>
            <w:r w:rsidRPr="00EA5D87">
              <w:t xml:space="preserve"> pathway?</w:t>
            </w:r>
          </w:p>
        </w:tc>
        <w:tc>
          <w:tcPr>
            <w:tcW w:w="5482" w:type="dxa"/>
          </w:tcPr>
          <w:p w14:paraId="129A754E" w14:textId="77777777" w:rsidR="00C84CAD" w:rsidRPr="00194778" w:rsidRDefault="00C84CAD" w:rsidP="00227ACE"/>
        </w:tc>
      </w:tr>
      <w:tr w:rsidR="00C84CAD" w:rsidRPr="00194778" w14:paraId="16D8695B" w14:textId="77777777" w:rsidTr="00227ACE">
        <w:trPr>
          <w:cnfStyle w:val="000000010000" w:firstRow="0" w:lastRow="0" w:firstColumn="0" w:lastColumn="0" w:oddVBand="0" w:evenVBand="0" w:oddHBand="0" w:evenHBand="1" w:firstRowFirstColumn="0" w:firstRowLastColumn="0" w:lastRowFirstColumn="0" w:lastRowLastColumn="0"/>
        </w:trPr>
        <w:tc>
          <w:tcPr>
            <w:tcW w:w="9026" w:type="dxa"/>
            <w:gridSpan w:val="2"/>
          </w:tcPr>
          <w:p w14:paraId="038B6CC5" w14:textId="77777777" w:rsidR="00C84CAD" w:rsidRPr="00EA5D87" w:rsidRDefault="00C84CAD" w:rsidP="00227ACE">
            <w:pPr>
              <w:rPr>
                <w:b/>
                <w:bCs/>
              </w:rPr>
            </w:pPr>
            <w:r w:rsidRPr="00EA5D87">
              <w:rPr>
                <w:b/>
                <w:bCs/>
              </w:rPr>
              <w:t>Power Purchase Agreements</w:t>
            </w:r>
          </w:p>
        </w:tc>
      </w:tr>
      <w:tr w:rsidR="00C84CAD" w:rsidRPr="00194778" w14:paraId="5D683D2F"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074E8CD9" w14:textId="77777777" w:rsidR="00C84CAD" w:rsidRPr="00194778" w:rsidRDefault="00C84CAD" w:rsidP="00227ACE">
            <w:r w:rsidRPr="00773FF2">
              <w:t>Q22.</w:t>
            </w:r>
            <w:r>
              <w:t xml:space="preserve"> </w:t>
            </w:r>
            <w:r w:rsidRPr="00773FF2">
              <w:t>Do you have any feedback, including suggestions for improvement, on the way that the NDOs will affect buyers seeking firming for PPAs?</w:t>
            </w:r>
          </w:p>
        </w:tc>
        <w:tc>
          <w:tcPr>
            <w:tcW w:w="5482" w:type="dxa"/>
          </w:tcPr>
          <w:p w14:paraId="6B7E0A91" w14:textId="77777777" w:rsidR="00C84CAD" w:rsidRPr="00194778" w:rsidRDefault="00C84CAD" w:rsidP="00227ACE"/>
        </w:tc>
      </w:tr>
      <w:tr w:rsidR="00C84CAD" w:rsidRPr="00194778" w14:paraId="58214E3A"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03000C1E" w14:textId="77777777" w:rsidR="00C84CAD" w:rsidRPr="00194778" w:rsidRDefault="00C84CAD" w:rsidP="00227ACE">
            <w:r w:rsidRPr="00555025">
              <w:t>Q23.</w:t>
            </w:r>
            <w:r>
              <w:t xml:space="preserve"> </w:t>
            </w:r>
            <w:r w:rsidRPr="00555025">
              <w:t>Would it be useful to convene a co-design group to consider a range of flexibility products that suit the needs of independent power generators?</w:t>
            </w:r>
          </w:p>
        </w:tc>
        <w:tc>
          <w:tcPr>
            <w:tcW w:w="5482" w:type="dxa"/>
          </w:tcPr>
          <w:p w14:paraId="33DD9EC9" w14:textId="77777777" w:rsidR="00C84CAD" w:rsidRPr="00194778" w:rsidRDefault="00C84CAD" w:rsidP="00227ACE"/>
        </w:tc>
      </w:tr>
      <w:tr w:rsidR="00C84CAD" w:rsidRPr="00194778" w14:paraId="1F97182E"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10C2E34F" w14:textId="77777777" w:rsidR="00C84CAD" w:rsidRPr="00555025" w:rsidRDefault="00C84CAD" w:rsidP="00227ACE">
            <w:pPr>
              <w:rPr>
                <w:b/>
              </w:rPr>
            </w:pPr>
            <w:r>
              <w:rPr>
                <w:b/>
                <w:bCs/>
              </w:rPr>
              <w:t>Internal Transfer Price disclosure requirements</w:t>
            </w:r>
          </w:p>
        </w:tc>
      </w:tr>
      <w:tr w:rsidR="00C84CAD" w:rsidRPr="00194778" w14:paraId="75A697BA"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02876552" w14:textId="77777777" w:rsidR="00C84CAD" w:rsidRPr="00194778" w:rsidRDefault="00C84CAD" w:rsidP="00227ACE">
            <w:r w:rsidRPr="0045439F">
              <w:t>Q24.</w:t>
            </w:r>
            <w:r>
              <w:t xml:space="preserve"> </w:t>
            </w:r>
            <w:r w:rsidRPr="0045439F">
              <w:t xml:space="preserve">Do you support the proposal to revoke the ITP requirements for gentailers? What are your views on retaining the RGM </w:t>
            </w:r>
            <w:r w:rsidRPr="0045439F">
              <w:lastRenderedPageBreak/>
              <w:t>reporting requirements for independent retailers?</w:t>
            </w:r>
          </w:p>
        </w:tc>
        <w:tc>
          <w:tcPr>
            <w:tcW w:w="5482" w:type="dxa"/>
          </w:tcPr>
          <w:p w14:paraId="1F46AEA4" w14:textId="77777777" w:rsidR="00C84CAD" w:rsidRPr="00194778" w:rsidRDefault="00C84CAD" w:rsidP="00227ACE"/>
        </w:tc>
      </w:tr>
      <w:tr w:rsidR="00C84CAD" w:rsidRPr="00194778" w14:paraId="10AFCC51"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1317BCB9" w14:textId="77777777" w:rsidR="00C84CAD" w:rsidRPr="0045439F" w:rsidRDefault="00C84CAD" w:rsidP="00227ACE">
            <w:pPr>
              <w:rPr>
                <w:b/>
              </w:rPr>
            </w:pPr>
            <w:r>
              <w:rPr>
                <w:b/>
                <w:bCs/>
              </w:rPr>
              <w:t>Regulatory Statement for the proposed amendment</w:t>
            </w:r>
          </w:p>
        </w:tc>
      </w:tr>
      <w:tr w:rsidR="00C84CAD" w:rsidRPr="00194778" w14:paraId="3E3BA425"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433E015D" w14:textId="77777777" w:rsidR="00C84CAD" w:rsidRPr="00194778" w:rsidRDefault="00C84CAD" w:rsidP="00227ACE">
            <w:r w:rsidRPr="007620E3">
              <w:t>Q25.</w:t>
            </w:r>
            <w:r>
              <w:t xml:space="preserve"> </w:t>
            </w:r>
            <w:r w:rsidRPr="007620E3">
              <w:t>Do you agree with the objectives of the proposed amendment? If not, why not?</w:t>
            </w:r>
          </w:p>
        </w:tc>
        <w:tc>
          <w:tcPr>
            <w:tcW w:w="5482" w:type="dxa"/>
          </w:tcPr>
          <w:p w14:paraId="3CC720A1" w14:textId="77777777" w:rsidR="00C84CAD" w:rsidRPr="00194778" w:rsidRDefault="00C84CAD" w:rsidP="00227ACE"/>
        </w:tc>
      </w:tr>
      <w:tr w:rsidR="00C84CAD" w:rsidRPr="00194778" w14:paraId="7131E9CD"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1114E940" w14:textId="77777777" w:rsidR="00C84CAD" w:rsidRPr="00194778" w:rsidRDefault="00C84CAD" w:rsidP="00227ACE">
            <w:r w:rsidRPr="008A0862">
              <w:t>Q26.</w:t>
            </w:r>
            <w:r>
              <w:t xml:space="preserve"> </w:t>
            </w:r>
            <w:r w:rsidRPr="008A0862">
              <w:t>Do you agree the benefits of the proposed amendment outweigh its costs?</w:t>
            </w:r>
          </w:p>
        </w:tc>
        <w:tc>
          <w:tcPr>
            <w:tcW w:w="5482" w:type="dxa"/>
          </w:tcPr>
          <w:p w14:paraId="6A44EC80" w14:textId="77777777" w:rsidR="00C84CAD" w:rsidRPr="00194778" w:rsidRDefault="00C84CAD" w:rsidP="00227ACE"/>
        </w:tc>
      </w:tr>
      <w:tr w:rsidR="00C84CAD" w:rsidRPr="00194778" w14:paraId="46516E6D"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22E34E9E" w14:textId="77777777" w:rsidR="00C84CAD" w:rsidRPr="00194778" w:rsidRDefault="00C84CAD" w:rsidP="00227ACE">
            <w:r w:rsidRPr="008A0862">
              <w:t>Q27.</w:t>
            </w:r>
            <w:r>
              <w:t xml:space="preserve"> </w:t>
            </w:r>
            <w:r w:rsidRPr="008A0862">
              <w:t>Do you agree the proposed amendment is preferable to the other options? If you disagree, please explain your preferred option in terms consistent with the Authority’s statutory objective in section 15 of the Electricity Industry Act 2010.</w:t>
            </w:r>
          </w:p>
        </w:tc>
        <w:tc>
          <w:tcPr>
            <w:tcW w:w="5482" w:type="dxa"/>
          </w:tcPr>
          <w:p w14:paraId="054BC1AB" w14:textId="77777777" w:rsidR="00C84CAD" w:rsidRPr="00194778" w:rsidRDefault="00C84CAD" w:rsidP="00227ACE"/>
        </w:tc>
      </w:tr>
      <w:tr w:rsidR="00C84CAD" w:rsidRPr="00194778" w14:paraId="7031E0B5"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tcPr>
          <w:p w14:paraId="3D061301" w14:textId="77777777" w:rsidR="00C84CAD" w:rsidRPr="00194778" w:rsidRDefault="00C84CAD" w:rsidP="00227ACE">
            <w:r w:rsidRPr="008A0862">
              <w:t>Q28.</w:t>
            </w:r>
            <w:r>
              <w:t xml:space="preserve"> </w:t>
            </w:r>
            <w:r w:rsidRPr="008A0862">
              <w:t>Do you agree the Authority’s proposed amendment complies with section 32(1) of the Act?</w:t>
            </w:r>
          </w:p>
        </w:tc>
        <w:tc>
          <w:tcPr>
            <w:tcW w:w="5482" w:type="dxa"/>
          </w:tcPr>
          <w:p w14:paraId="2D13EB2D" w14:textId="77777777" w:rsidR="00C84CAD" w:rsidRPr="00194778" w:rsidRDefault="00C84CAD" w:rsidP="00227ACE"/>
        </w:tc>
      </w:tr>
      <w:tr w:rsidR="00C84CAD" w:rsidRPr="00194778" w14:paraId="2F6C5273"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tcPr>
          <w:p w14:paraId="448664E8" w14:textId="77777777" w:rsidR="00C84CAD" w:rsidRPr="00194778" w:rsidRDefault="00C84CAD" w:rsidP="00227ACE">
            <w:r w:rsidRPr="008A0862">
              <w:t>Q29.</w:t>
            </w:r>
            <w:r>
              <w:t xml:space="preserve"> </w:t>
            </w:r>
            <w:r w:rsidRPr="008A0862">
              <w:t>Do you have any comments on the regulatory statement?</w:t>
            </w:r>
          </w:p>
        </w:tc>
        <w:tc>
          <w:tcPr>
            <w:tcW w:w="5482" w:type="dxa"/>
          </w:tcPr>
          <w:p w14:paraId="72D9FA82" w14:textId="77777777" w:rsidR="00C84CAD" w:rsidRPr="00194778" w:rsidRDefault="00C84CAD" w:rsidP="00227ACE"/>
        </w:tc>
      </w:tr>
      <w:tr w:rsidR="00C84CAD" w:rsidRPr="00194778" w14:paraId="4E8D04A8" w14:textId="77777777" w:rsidTr="00227ACE">
        <w:trPr>
          <w:cnfStyle w:val="000000100000" w:firstRow="0" w:lastRow="0" w:firstColumn="0" w:lastColumn="0" w:oddVBand="0" w:evenVBand="0" w:oddHBand="1" w:evenHBand="0" w:firstRowFirstColumn="0" w:firstRowLastColumn="0" w:lastRowFirstColumn="0" w:lastRowLastColumn="0"/>
        </w:trPr>
        <w:tc>
          <w:tcPr>
            <w:tcW w:w="9026" w:type="dxa"/>
            <w:gridSpan w:val="2"/>
          </w:tcPr>
          <w:p w14:paraId="69A3DE1E" w14:textId="77777777" w:rsidR="00C84CAD" w:rsidRPr="009D67D0" w:rsidRDefault="00C84CAD" w:rsidP="00227ACE">
            <w:pPr>
              <w:rPr>
                <w:b/>
                <w:bCs/>
              </w:rPr>
            </w:pPr>
            <w:r>
              <w:rPr>
                <w:b/>
                <w:bCs/>
              </w:rPr>
              <w:t>Appendix A – Proposed Code amendments</w:t>
            </w:r>
          </w:p>
        </w:tc>
      </w:tr>
      <w:tr w:rsidR="00C84CAD" w:rsidRPr="00194778" w14:paraId="6257C5A1" w14:textId="77777777" w:rsidTr="00227ACE">
        <w:trPr>
          <w:cnfStyle w:val="000000010000" w:firstRow="0" w:lastRow="0" w:firstColumn="0" w:lastColumn="0" w:oddVBand="0" w:evenVBand="0" w:oddHBand="0" w:evenHBand="1" w:firstRowFirstColumn="0" w:firstRowLastColumn="0" w:lastRowFirstColumn="0" w:lastRowLastColumn="0"/>
        </w:trPr>
        <w:tc>
          <w:tcPr>
            <w:tcW w:w="9026" w:type="dxa"/>
            <w:gridSpan w:val="2"/>
            <w:shd w:val="clear" w:color="auto" w:fill="F4F4F4"/>
          </w:tcPr>
          <w:p w14:paraId="12F8801E" w14:textId="77777777" w:rsidR="00C84CAD" w:rsidRPr="0097035E" w:rsidRDefault="00C84CAD" w:rsidP="00227ACE">
            <w:pPr>
              <w:rPr>
                <w:b/>
                <w:bCs/>
              </w:rPr>
            </w:pPr>
            <w:r w:rsidRPr="0097035E">
              <w:rPr>
                <w:b/>
                <w:bCs/>
              </w:rPr>
              <w:t>Proposed Code amendments</w:t>
            </w:r>
          </w:p>
        </w:tc>
      </w:tr>
      <w:tr w:rsidR="00C84CAD" w:rsidRPr="00194778" w14:paraId="19FB3B97"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shd w:val="clear" w:color="auto" w:fill="D7E1EF"/>
          </w:tcPr>
          <w:p w14:paraId="5C459D4F" w14:textId="77777777" w:rsidR="00C84CAD" w:rsidRPr="008A0862" w:rsidRDefault="00C84CAD" w:rsidP="00227ACE">
            <w:r w:rsidRPr="0097035E">
              <w:t>Q30.</w:t>
            </w:r>
            <w:r>
              <w:t xml:space="preserve"> </w:t>
            </w:r>
            <w:r w:rsidRPr="0097035E">
              <w:t>Do you have any comments on the drafting of the proposed Code amendments?</w:t>
            </w:r>
          </w:p>
        </w:tc>
        <w:tc>
          <w:tcPr>
            <w:tcW w:w="5482" w:type="dxa"/>
            <w:shd w:val="clear" w:color="auto" w:fill="D7E1EF"/>
          </w:tcPr>
          <w:p w14:paraId="75B0C825" w14:textId="77777777" w:rsidR="00C84CAD" w:rsidRPr="00194778" w:rsidRDefault="00C84CAD" w:rsidP="00227ACE"/>
        </w:tc>
      </w:tr>
      <w:tr w:rsidR="00C84CAD" w:rsidRPr="00194778" w14:paraId="1B76A2B5" w14:textId="77777777" w:rsidTr="00227ACE">
        <w:trPr>
          <w:cnfStyle w:val="000000010000" w:firstRow="0" w:lastRow="0" w:firstColumn="0" w:lastColumn="0" w:oddVBand="0" w:evenVBand="0" w:oddHBand="0" w:evenHBand="1" w:firstRowFirstColumn="0" w:firstRowLastColumn="0" w:lastRowFirstColumn="0" w:lastRowLastColumn="0"/>
        </w:trPr>
        <w:tc>
          <w:tcPr>
            <w:tcW w:w="9026" w:type="dxa"/>
            <w:gridSpan w:val="2"/>
            <w:shd w:val="clear" w:color="auto" w:fill="F4F4F4"/>
          </w:tcPr>
          <w:p w14:paraId="5629C4FB" w14:textId="77777777" w:rsidR="00C84CAD" w:rsidRPr="0097035E" w:rsidRDefault="00C84CAD" w:rsidP="00227ACE">
            <w:pPr>
              <w:rPr>
                <w:b/>
                <w:bCs/>
              </w:rPr>
            </w:pPr>
            <w:r w:rsidRPr="0097035E">
              <w:rPr>
                <w:b/>
                <w:bCs/>
              </w:rPr>
              <w:t>Draft guidance to support Code amendments</w:t>
            </w:r>
          </w:p>
        </w:tc>
      </w:tr>
      <w:tr w:rsidR="00C84CAD" w:rsidRPr="00194778" w14:paraId="64F67C35" w14:textId="77777777" w:rsidTr="00227ACE">
        <w:trPr>
          <w:cnfStyle w:val="000000100000" w:firstRow="0" w:lastRow="0" w:firstColumn="0" w:lastColumn="0" w:oddVBand="0" w:evenVBand="0" w:oddHBand="1" w:evenHBand="0" w:firstRowFirstColumn="0" w:firstRowLastColumn="0" w:lastRowFirstColumn="0" w:lastRowLastColumn="0"/>
        </w:trPr>
        <w:tc>
          <w:tcPr>
            <w:tcW w:w="3544" w:type="dxa"/>
            <w:shd w:val="clear" w:color="auto" w:fill="D7E1EF"/>
          </w:tcPr>
          <w:p w14:paraId="314CC535" w14:textId="77777777" w:rsidR="00C84CAD" w:rsidRPr="008A0862" w:rsidRDefault="00C84CAD" w:rsidP="00227ACE">
            <w:r w:rsidRPr="0097035E">
              <w:t>Q31.</w:t>
            </w:r>
            <w:r>
              <w:t xml:space="preserve"> </w:t>
            </w:r>
            <w:r w:rsidRPr="0097035E">
              <w:t>Do you have any comments on the draft guidance?</w:t>
            </w:r>
          </w:p>
        </w:tc>
        <w:tc>
          <w:tcPr>
            <w:tcW w:w="5482" w:type="dxa"/>
            <w:shd w:val="clear" w:color="auto" w:fill="D7E1EF"/>
          </w:tcPr>
          <w:p w14:paraId="693658B8" w14:textId="77777777" w:rsidR="00C84CAD" w:rsidRPr="00194778" w:rsidRDefault="00C84CAD" w:rsidP="00227ACE"/>
        </w:tc>
      </w:tr>
      <w:tr w:rsidR="00C84CAD" w:rsidRPr="00194778" w14:paraId="097D4AB1" w14:textId="77777777" w:rsidTr="00227ACE">
        <w:trPr>
          <w:cnfStyle w:val="000000010000" w:firstRow="0" w:lastRow="0" w:firstColumn="0" w:lastColumn="0" w:oddVBand="0" w:evenVBand="0" w:oddHBand="0" w:evenHBand="1" w:firstRowFirstColumn="0" w:firstRowLastColumn="0" w:lastRowFirstColumn="0" w:lastRowLastColumn="0"/>
        </w:trPr>
        <w:tc>
          <w:tcPr>
            <w:tcW w:w="3544" w:type="dxa"/>
            <w:shd w:val="clear" w:color="auto" w:fill="F4F4F4"/>
          </w:tcPr>
          <w:p w14:paraId="5F07F6A3" w14:textId="77777777" w:rsidR="00C84CAD" w:rsidRPr="008A0862" w:rsidRDefault="00C84CAD" w:rsidP="00227ACE">
            <w:r w:rsidRPr="0097035E">
              <w:t>Q32.</w:t>
            </w:r>
            <w:r>
              <w:t xml:space="preserve"> </w:t>
            </w:r>
            <w:r w:rsidRPr="0097035E">
              <w:t>Is any further guidance needed to help clarify what constitutes an “objectively justifiable” reason for discrimination under the NDOs? Please explain.</w:t>
            </w:r>
          </w:p>
        </w:tc>
        <w:tc>
          <w:tcPr>
            <w:tcW w:w="5482" w:type="dxa"/>
            <w:shd w:val="clear" w:color="auto" w:fill="F4F4F4"/>
          </w:tcPr>
          <w:p w14:paraId="4F8DAEF2" w14:textId="77777777" w:rsidR="00C84CAD" w:rsidRPr="00194778" w:rsidRDefault="00C84CAD" w:rsidP="00227ACE"/>
        </w:tc>
      </w:tr>
    </w:tbl>
    <w:p w14:paraId="52946FA3" w14:textId="59DC6737" w:rsidR="00FE03C0" w:rsidRDefault="002209ED" w:rsidP="00C84CAD">
      <w:pPr>
        <w:spacing w:before="0" w:after="160" w:line="259" w:lineRule="auto"/>
      </w:pPr>
      <w:r>
        <w:rPr>
          <w:noProof/>
          <w:lang w:eastAsia="en-NZ"/>
        </w:rPr>
        <w:t xml:space="preserve"> </w:t>
      </w:r>
    </w:p>
    <w:sectPr w:rsidR="00FE03C0" w:rsidSect="004E4C99">
      <w:footerReference w:type="even" r:id="rId13"/>
      <w:footerReference w:type="default" r:id="rId14"/>
      <w:footerReference w:type="first" r:id="rId15"/>
      <w:pgSz w:w="11906" w:h="16838"/>
      <w:pgMar w:top="1440" w:right="1440" w:bottom="1440" w:left="144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E81D" w14:textId="77777777" w:rsidR="00C84CAD" w:rsidRDefault="00C84CAD" w:rsidP="004E4C99">
      <w:r>
        <w:separator/>
      </w:r>
    </w:p>
    <w:p w14:paraId="55B56518" w14:textId="77777777" w:rsidR="00C84CAD" w:rsidRDefault="00C84CAD"/>
  </w:endnote>
  <w:endnote w:type="continuationSeparator" w:id="0">
    <w:p w14:paraId="742D094C" w14:textId="77777777" w:rsidR="00C84CAD" w:rsidRDefault="00C84CAD" w:rsidP="004E4C99">
      <w:r>
        <w:continuationSeparator/>
      </w:r>
    </w:p>
    <w:p w14:paraId="7ECAA5E3" w14:textId="77777777" w:rsidR="00C84CAD" w:rsidRDefault="00C84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8687" w14:textId="77777777" w:rsidR="00EB35D1" w:rsidRDefault="00EB35D1">
    <w:pPr>
      <w:pStyle w:val="Footer"/>
    </w:pPr>
    <w:r>
      <w:rPr>
        <w:noProof/>
      </w:rPr>
      <mc:AlternateContent>
        <mc:Choice Requires="wps">
          <w:drawing>
            <wp:anchor distT="0" distB="0" distL="0" distR="0" simplePos="0" relativeHeight="251659264" behindDoc="0" locked="0" layoutInCell="1" allowOverlap="1" wp14:anchorId="2397227E" wp14:editId="7812F2FE">
              <wp:simplePos x="635" y="635"/>
              <wp:positionH relativeFrom="page">
                <wp:align>center</wp:align>
              </wp:positionH>
              <wp:positionV relativeFrom="page">
                <wp:align>bottom</wp:align>
              </wp:positionV>
              <wp:extent cx="1704340" cy="445135"/>
              <wp:effectExtent l="0" t="0" r="10160" b="0"/>
              <wp:wrapNone/>
              <wp:docPr id="1538240674"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176C60D6"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7227E" id="_x0000_t202" coordsize="21600,21600" o:spt="202" path="m,l,21600r21600,l21600,xe">
              <v:stroke joinstyle="miter"/>
              <v:path gradientshapeok="t" o:connecttype="rect"/>
            </v:shapetype>
            <v:shape id="Text Box 2" o:spid="_x0000_s1026" type="#_x0000_t202" alt="IN-CONFIDENCE: ORGANISATION" style="position:absolute;margin-left:0;margin-top:0;width:134.2pt;height:35.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" filled="f" stroked="f">
              <v:textbox style="mso-fit-shape-to-text:t" inset="0,0,0,15pt">
                <w:txbxContent>
                  <w:p w14:paraId="176C60D6"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6B03" w14:textId="4FCACD69" w:rsidR="009A7620" w:rsidRDefault="009A7620" w:rsidP="004E4C99">
    <w:pPr>
      <w:pStyle w:val="Footer"/>
    </w:pPr>
    <w:r>
      <w:t xml:space="preserve"> </w:t>
    </w:r>
    <w:r>
      <w:ptab w:relativeTo="margin" w:alignment="right" w:leader="none"/>
    </w:r>
    <w:r w:rsidRPr="009A7620">
      <w:fldChar w:fldCharType="begin"/>
    </w:r>
    <w:r w:rsidRPr="009A7620">
      <w:instrText xml:space="preserve"> PAGE   \* MERGEFORMAT </w:instrText>
    </w:r>
    <w:r w:rsidRPr="009A7620">
      <w:fldChar w:fldCharType="separate"/>
    </w:r>
    <w:r w:rsidR="00E82F4A">
      <w:rPr>
        <w:noProof/>
      </w:rPr>
      <w:t>3</w:t>
    </w:r>
    <w:r w:rsidRPr="009A7620">
      <w:rPr>
        <w:noProof/>
      </w:rPr>
      <w:fldChar w:fldCharType="end"/>
    </w:r>
  </w:p>
  <w:p w14:paraId="1C0B1C6C" w14:textId="77777777" w:rsidR="000C697E" w:rsidRDefault="000C69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B215F" w14:textId="77777777" w:rsidR="00EB35D1" w:rsidRDefault="00EB35D1">
    <w:pPr>
      <w:pStyle w:val="Footer"/>
    </w:pPr>
    <w:r>
      <w:rPr>
        <w:noProof/>
      </w:rPr>
      <mc:AlternateContent>
        <mc:Choice Requires="wps">
          <w:drawing>
            <wp:anchor distT="0" distB="0" distL="0" distR="0" simplePos="0" relativeHeight="251658240" behindDoc="0" locked="0" layoutInCell="1" allowOverlap="1" wp14:anchorId="501D91FD" wp14:editId="19767266">
              <wp:simplePos x="635" y="635"/>
              <wp:positionH relativeFrom="page">
                <wp:align>center</wp:align>
              </wp:positionH>
              <wp:positionV relativeFrom="page">
                <wp:align>bottom</wp:align>
              </wp:positionV>
              <wp:extent cx="1704340" cy="445135"/>
              <wp:effectExtent l="0" t="0" r="10160" b="0"/>
              <wp:wrapNone/>
              <wp:docPr id="1556405115"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445135"/>
                      </a:xfrm>
                      <a:prstGeom prst="rect">
                        <a:avLst/>
                      </a:prstGeom>
                      <a:noFill/>
                      <a:ln>
                        <a:noFill/>
                      </a:ln>
                    </wps:spPr>
                    <wps:txbx>
                      <w:txbxContent>
                        <w:p w14:paraId="09D2C1E2"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D91FD" id="_x0000_t202" coordsize="21600,21600" o:spt="202" path="m,l,21600r21600,l21600,xe">
              <v:stroke joinstyle="miter"/>
              <v:path gradientshapeok="t" o:connecttype="rect"/>
            </v:shapetype>
            <v:shape id="Text Box 1" o:spid="_x0000_s1027" type="#_x0000_t202" alt="IN-CONFIDENCE: ORGANISATION" style="position:absolute;margin-left:0;margin-top:0;width:134.2pt;height:35.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" filled="f" stroked="f">
              <v:textbox style="mso-fit-shape-to-text:t" inset="0,0,0,15pt">
                <w:txbxContent>
                  <w:p w14:paraId="09D2C1E2" w14:textId="77777777" w:rsidR="00EB35D1" w:rsidRPr="00EB35D1" w:rsidRDefault="00EB35D1" w:rsidP="00EB35D1">
                    <w:pPr>
                      <w:spacing w:after="0"/>
                      <w:rPr>
                        <w:rFonts w:ascii="Calibri" w:eastAsia="Calibri" w:hAnsi="Calibri" w:cs="Calibri"/>
                        <w:noProof/>
                        <w:color w:val="000000"/>
                        <w:sz w:val="20"/>
                        <w:szCs w:val="20"/>
                      </w:rPr>
                    </w:pPr>
                    <w:r w:rsidRPr="00EB35D1">
                      <w:rPr>
                        <w:rFonts w:ascii="Calibri" w:eastAsia="Calibri" w:hAnsi="Calibri" w:cs="Calibri"/>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EE3F" w14:textId="77777777" w:rsidR="00C84CAD" w:rsidRPr="004E4C99" w:rsidRDefault="00C84CAD" w:rsidP="00121A65">
      <w:pPr>
        <w:pStyle w:val="NoSpacing"/>
        <w:pBdr>
          <w:bottom w:val="single" w:sz="4" w:space="1" w:color="auto"/>
        </w:pBdr>
        <w:ind w:right="6804"/>
        <w:rPr>
          <w:sz w:val="18"/>
          <w:szCs w:val="18"/>
        </w:rPr>
      </w:pPr>
    </w:p>
    <w:p w14:paraId="7CB6B662" w14:textId="77777777" w:rsidR="00C84CAD" w:rsidRDefault="00C84CAD"/>
  </w:footnote>
  <w:footnote w:type="continuationSeparator" w:id="0">
    <w:p w14:paraId="286C1C01" w14:textId="77777777" w:rsidR="00C84CAD" w:rsidRDefault="00C84CAD" w:rsidP="004E4C99">
      <w:r>
        <w:continuationSeparator/>
      </w:r>
    </w:p>
    <w:p w14:paraId="567B1340" w14:textId="77777777" w:rsidR="00C84CAD" w:rsidRDefault="00C84C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6C2247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E74ADB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FEEADD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DF64E2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37932"/>
    <w:multiLevelType w:val="hybridMultilevel"/>
    <w:tmpl w:val="67C457A0"/>
    <w:lvl w:ilvl="0" w:tplc="2688A6F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762CA8"/>
    <w:multiLevelType w:val="multilevel"/>
    <w:tmpl w:val="8BEC7A9E"/>
    <w:numStyleLink w:val="Style1"/>
  </w:abstractNum>
  <w:abstractNum w:abstractNumId="6" w15:restartNumberingAfterBreak="0">
    <w:nsid w:val="12EA58E8"/>
    <w:multiLevelType w:val="hybridMultilevel"/>
    <w:tmpl w:val="69487722"/>
    <w:lvl w:ilvl="0" w:tplc="D1A66574">
      <w:start w:val="1"/>
      <w:numFmt w:val="upperLetter"/>
      <w:lvlText w:val="Appendix %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7AD7FD4"/>
    <w:multiLevelType w:val="multilevel"/>
    <w:tmpl w:val="6E80AC76"/>
    <w:lvl w:ilvl="0">
      <w:start w:val="1"/>
      <w:numFmt w:val="bullet"/>
      <w:pStyle w:val="ListBullet"/>
      <w:lvlText w:val=""/>
      <w:lvlJc w:val="left"/>
      <w:pPr>
        <w:tabs>
          <w:tab w:val="num" w:pos="680"/>
        </w:tabs>
        <w:ind w:left="1021" w:hanging="341"/>
      </w:pPr>
      <w:rPr>
        <w:rFonts w:ascii="Symbol" w:hAnsi="Symbol" w:hint="default"/>
      </w:rPr>
    </w:lvl>
    <w:lvl w:ilvl="1">
      <w:start w:val="1"/>
      <w:numFmt w:val="bullet"/>
      <w:pStyle w:val="ListBullet2"/>
      <w:lvlText w:val="‒"/>
      <w:lvlJc w:val="left"/>
      <w:pPr>
        <w:tabs>
          <w:tab w:val="num" w:pos="1020"/>
        </w:tabs>
        <w:ind w:left="1361" w:hanging="341"/>
      </w:pPr>
      <w:rPr>
        <w:rFonts w:ascii="Calibri" w:hAnsi="Calibri" w:hint="default"/>
      </w:rPr>
    </w:lvl>
    <w:lvl w:ilvl="2">
      <w:start w:val="1"/>
      <w:numFmt w:val="bullet"/>
      <w:pStyle w:val="ListBullet3"/>
      <w:lvlText w:val=""/>
      <w:lvlJc w:val="left"/>
      <w:pPr>
        <w:tabs>
          <w:tab w:val="num" w:pos="1360"/>
        </w:tabs>
        <w:ind w:left="1701" w:hanging="341"/>
      </w:pPr>
      <w:rPr>
        <w:rFonts w:ascii="Wingdings" w:hAnsi="Wingdings" w:hint="default"/>
        <w:b w:val="0"/>
        <w:bCs w:val="0"/>
        <w:color w:val="auto"/>
      </w:rPr>
    </w:lvl>
    <w:lvl w:ilvl="3">
      <w:start w:val="1"/>
      <w:numFmt w:val="bullet"/>
      <w:pStyle w:val="ListBullet4"/>
      <w:lvlText w:val=""/>
      <w:lvlJc w:val="left"/>
      <w:pPr>
        <w:tabs>
          <w:tab w:val="num" w:pos="1700"/>
        </w:tabs>
        <w:ind w:left="2041" w:hanging="341"/>
      </w:pPr>
      <w:rPr>
        <w:rFonts w:ascii="Symbol" w:hAnsi="Symbol" w:hint="default"/>
      </w:rPr>
    </w:lvl>
    <w:lvl w:ilvl="4">
      <w:start w:val="1"/>
      <w:numFmt w:val="bullet"/>
      <w:lvlText w:val=""/>
      <w:lvlJc w:val="left"/>
      <w:pPr>
        <w:tabs>
          <w:tab w:val="num" w:pos="2040"/>
        </w:tabs>
        <w:ind w:left="2381" w:hanging="341"/>
      </w:pPr>
      <w:rPr>
        <w:rFonts w:ascii="Symbol" w:hAnsi="Symbol" w:hint="default"/>
      </w:rPr>
    </w:lvl>
    <w:lvl w:ilvl="5">
      <w:start w:val="1"/>
      <w:numFmt w:val="bullet"/>
      <w:lvlText w:val=""/>
      <w:lvlJc w:val="left"/>
      <w:pPr>
        <w:tabs>
          <w:tab w:val="num" w:pos="2380"/>
        </w:tabs>
        <w:ind w:left="2721" w:hanging="341"/>
      </w:pPr>
      <w:rPr>
        <w:rFonts w:ascii="Wingdings" w:hAnsi="Wingdings" w:hint="default"/>
      </w:rPr>
    </w:lvl>
    <w:lvl w:ilvl="6">
      <w:start w:val="1"/>
      <w:numFmt w:val="bullet"/>
      <w:lvlText w:val=""/>
      <w:lvlJc w:val="left"/>
      <w:pPr>
        <w:tabs>
          <w:tab w:val="num" w:pos="2720"/>
        </w:tabs>
        <w:ind w:left="3061" w:hanging="341"/>
      </w:pPr>
      <w:rPr>
        <w:rFonts w:ascii="Wingdings" w:hAnsi="Wingdings" w:hint="default"/>
      </w:rPr>
    </w:lvl>
    <w:lvl w:ilvl="7">
      <w:start w:val="1"/>
      <w:numFmt w:val="bullet"/>
      <w:lvlText w:val=""/>
      <w:lvlJc w:val="left"/>
      <w:pPr>
        <w:tabs>
          <w:tab w:val="num" w:pos="3060"/>
        </w:tabs>
        <w:ind w:left="3401" w:hanging="341"/>
      </w:pPr>
      <w:rPr>
        <w:rFonts w:ascii="Symbol" w:hAnsi="Symbol" w:hint="default"/>
      </w:rPr>
    </w:lvl>
    <w:lvl w:ilvl="8">
      <w:start w:val="1"/>
      <w:numFmt w:val="bullet"/>
      <w:lvlText w:val=""/>
      <w:lvlJc w:val="left"/>
      <w:pPr>
        <w:tabs>
          <w:tab w:val="num" w:pos="3400"/>
        </w:tabs>
        <w:ind w:left="3741" w:hanging="341"/>
      </w:pPr>
      <w:rPr>
        <w:rFonts w:ascii="Symbol" w:hAnsi="Symbol" w:hint="default"/>
      </w:rPr>
    </w:lvl>
  </w:abstractNum>
  <w:abstractNum w:abstractNumId="8" w15:restartNumberingAfterBreak="0">
    <w:nsid w:val="19080F62"/>
    <w:multiLevelType w:val="multilevel"/>
    <w:tmpl w:val="01C89958"/>
    <w:lvl w:ilvl="0">
      <w:start w:val="3"/>
      <w:numFmt w:val="upperLetter"/>
      <w:pStyle w:val="AppendixHeading"/>
      <w:lvlText w:val="Appendix %1"/>
      <w:lvlJc w:val="left"/>
      <w:pPr>
        <w:ind w:left="2836" w:hanging="2268"/>
      </w:pPr>
      <w:rPr>
        <w:rFonts w:hint="default"/>
      </w:rPr>
    </w:lvl>
    <w:lvl w:ilvl="1">
      <w:start w:val="1"/>
      <w:numFmt w:val="decimal"/>
      <w:pStyle w:val="AppendixParagraph"/>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bullet"/>
      <w:lvlText w:val=""/>
      <w:lvlJc w:val="left"/>
      <w:pPr>
        <w:ind w:left="2722" w:hanging="681"/>
      </w:pPr>
      <w:rPr>
        <w:rFonts w:ascii="Wingdings" w:hAnsi="Wingding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7E0EBD"/>
    <w:multiLevelType w:val="multilevel"/>
    <w:tmpl w:val="3D8A52D6"/>
    <w:lvl w:ilvl="0">
      <w:start w:val="1"/>
      <w:numFmt w:val="decimal"/>
      <w:lvlText w:val="%1."/>
      <w:lvlJc w:val="left"/>
      <w:pPr>
        <w:ind w:left="851" w:hanging="851"/>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A31211"/>
    <w:multiLevelType w:val="hybridMultilevel"/>
    <w:tmpl w:val="24BA62AC"/>
    <w:lvl w:ilvl="0" w:tplc="6A3615BC">
      <w:start w:val="12"/>
      <w:numFmt w:val="bullet"/>
      <w:lvlText w:val=""/>
      <w:lvlJc w:val="left"/>
      <w:pPr>
        <w:ind w:left="720" w:hanging="360"/>
      </w:pPr>
      <w:rPr>
        <w:rFonts w:ascii="Symbol" w:eastAsiaTheme="minorEastAsia"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AB15E2F"/>
    <w:multiLevelType w:val="multilevel"/>
    <w:tmpl w:val="B3B01834"/>
    <w:lvl w:ilvl="0">
      <w:start w:val="1"/>
      <w:numFmt w:val="decimal"/>
      <w:pStyle w:val="Heading1"/>
      <w:lvlText w:val="%1."/>
      <w:lvlJc w:val="left"/>
      <w:pPr>
        <w:ind w:left="851" w:hanging="851"/>
      </w:pPr>
      <w:rPr>
        <w:rFonts w:hint="default"/>
      </w:rPr>
    </w:lvl>
    <w:lvl w:ilvl="1">
      <w:start w:val="1"/>
      <w:numFmt w:val="decimal"/>
      <w:pStyle w:val="NumberedParagraph"/>
      <w:lvlText w:val="%1.%2."/>
      <w:lvlJc w:val="left"/>
      <w:pPr>
        <w:ind w:left="851" w:hanging="851"/>
      </w:pPr>
      <w:rPr>
        <w:rFonts w:hint="default"/>
      </w:rPr>
    </w:lvl>
    <w:lvl w:ilvl="2">
      <w:start w:val="1"/>
      <w:numFmt w:val="lowerLetter"/>
      <w:pStyle w:val="Listabc"/>
      <w:lvlText w:val="(%3)"/>
      <w:lvlJc w:val="left"/>
      <w:pPr>
        <w:ind w:left="1418" w:hanging="567"/>
      </w:pPr>
      <w:rPr>
        <w:rFonts w:hint="default"/>
      </w:rPr>
    </w:lvl>
    <w:lvl w:ilvl="3">
      <w:start w:val="1"/>
      <w:numFmt w:val="none"/>
      <w:lvlText w:val="(i)"/>
      <w:lvlJc w:val="left"/>
      <w:pPr>
        <w:ind w:left="198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992314"/>
    <w:multiLevelType w:val="multilevel"/>
    <w:tmpl w:val="8BEC7A9E"/>
    <w:numStyleLink w:val="Style1"/>
  </w:abstractNum>
  <w:abstractNum w:abstractNumId="13" w15:restartNumberingAfterBreak="0">
    <w:nsid w:val="5B9F29C9"/>
    <w:multiLevelType w:val="multilevel"/>
    <w:tmpl w:val="C310F69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color w:val="auto"/>
      </w:rPr>
    </w:lvl>
    <w:lvl w:ilvl="2">
      <w:start w:val="1"/>
      <w:numFmt w:val="lowerLetter"/>
      <w:lvlText w:val="(%3)"/>
      <w:lvlJc w:val="left"/>
      <w:pPr>
        <w:ind w:left="1134" w:hanging="454"/>
      </w:pPr>
    </w:lvl>
    <w:lvl w:ilvl="3">
      <w:start w:val="1"/>
      <w:numFmt w:val="lowerRoman"/>
      <w:lvlText w:val="(%4)"/>
      <w:lvlJc w:val="left"/>
      <w:pPr>
        <w:ind w:left="1701" w:hanging="567"/>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4" w15:restartNumberingAfterBreak="0">
    <w:nsid w:val="5F18684C"/>
    <w:multiLevelType w:val="multilevel"/>
    <w:tmpl w:val="A3346DBA"/>
    <w:lvl w:ilvl="0">
      <w:start w:val="1"/>
      <w:numFmt w:val="upperLetter"/>
      <w:lvlText w:val="Appendix %1"/>
      <w:lvlJc w:val="left"/>
      <w:pPr>
        <w:tabs>
          <w:tab w:val="num" w:pos="2268"/>
        </w:tabs>
        <w:ind w:left="2268" w:hanging="2268"/>
      </w:pPr>
      <w:rPr>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none"/>
      <w:suff w:val="nothing"/>
      <w:lvlText w:val=""/>
      <w:lvlJc w:val="left"/>
      <w:pPr>
        <w:ind w:left="1843" w:firstLine="0"/>
      </w:pPr>
      <w:rPr>
        <w:rFonts w:hint="default"/>
      </w:rPr>
    </w:lvl>
    <w:lvl w:ilvl="5">
      <w:start w:val="1"/>
      <w:numFmt w:val="none"/>
      <w:suff w:val="nothing"/>
      <w:lvlText w:val=""/>
      <w:lvlJc w:val="left"/>
      <w:pPr>
        <w:ind w:left="2268" w:firstLine="0"/>
      </w:pPr>
      <w:rPr>
        <w:rFonts w:hint="default"/>
      </w:rPr>
    </w:lvl>
    <w:lvl w:ilvl="6">
      <w:start w:val="1"/>
      <w:numFmt w:val="none"/>
      <w:lvlText w:val=""/>
      <w:lvlJc w:val="left"/>
      <w:pPr>
        <w:tabs>
          <w:tab w:val="num" w:pos="-710"/>
        </w:tabs>
        <w:ind w:left="-710" w:firstLine="0"/>
      </w:pPr>
      <w:rPr>
        <w:rFonts w:hint="default"/>
      </w:rPr>
    </w:lvl>
    <w:lvl w:ilvl="7">
      <w:start w:val="1"/>
      <w:numFmt w:val="none"/>
      <w:lvlText w:val=""/>
      <w:lvlJc w:val="left"/>
      <w:pPr>
        <w:tabs>
          <w:tab w:val="num" w:pos="-710"/>
        </w:tabs>
        <w:ind w:left="-710" w:firstLine="0"/>
      </w:pPr>
      <w:rPr>
        <w:rFonts w:hint="default"/>
      </w:rPr>
    </w:lvl>
    <w:lvl w:ilvl="8">
      <w:start w:val="1"/>
      <w:numFmt w:val="none"/>
      <w:lvlText w:val=""/>
      <w:lvlJc w:val="left"/>
      <w:pPr>
        <w:tabs>
          <w:tab w:val="num" w:pos="-710"/>
        </w:tabs>
        <w:ind w:left="-710" w:firstLine="0"/>
      </w:pPr>
      <w:rPr>
        <w:rFonts w:hint="default"/>
      </w:rPr>
    </w:lvl>
  </w:abstractNum>
  <w:abstractNum w:abstractNumId="15" w15:restartNumberingAfterBreak="0">
    <w:nsid w:val="5FF46CA9"/>
    <w:multiLevelType w:val="hybridMultilevel"/>
    <w:tmpl w:val="9E386B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49448F1"/>
    <w:multiLevelType w:val="hybridMultilevel"/>
    <w:tmpl w:val="AE765CC8"/>
    <w:lvl w:ilvl="0" w:tplc="4A3EA0BE">
      <w:start w:val="1"/>
      <w:numFmt w:val="bullet"/>
      <w:pStyle w:val="ListParagraph"/>
      <w:lvlText w:val=""/>
      <w:lvlJc w:val="left"/>
      <w:pPr>
        <w:ind w:left="284" w:hanging="284"/>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7A44592"/>
    <w:multiLevelType w:val="hybridMultilevel"/>
    <w:tmpl w:val="51C4204E"/>
    <w:lvl w:ilvl="0" w:tplc="38AA41E6">
      <w:start w:val="1"/>
      <w:numFmt w:val="decimal"/>
      <w:lvlText w:val="%1."/>
      <w:lvlJc w:val="left"/>
      <w:pPr>
        <w:ind w:left="720" w:hanging="360"/>
      </w:pPr>
      <w:rPr>
        <w:rFonts w:asciiTheme="minorHAnsi" w:hAnsiTheme="minorHAnsi"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8BD413A"/>
    <w:multiLevelType w:val="multilevel"/>
    <w:tmpl w:val="8BEC7A9E"/>
    <w:numStyleLink w:val="Style1"/>
  </w:abstractNum>
  <w:abstractNum w:abstractNumId="19" w15:restartNumberingAfterBreak="0">
    <w:nsid w:val="7C16392F"/>
    <w:multiLevelType w:val="multilevel"/>
    <w:tmpl w:val="8BEC7A9E"/>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Letter"/>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64949912">
    <w:abstractNumId w:val="16"/>
  </w:num>
  <w:num w:numId="2" w16cid:durableId="376051017">
    <w:abstractNumId w:val="16"/>
    <w:lvlOverride w:ilvl="0">
      <w:startOverride w:val="1"/>
    </w:lvlOverride>
  </w:num>
  <w:num w:numId="3" w16cid:durableId="353306169">
    <w:abstractNumId w:val="15"/>
  </w:num>
  <w:num w:numId="4" w16cid:durableId="1746026593">
    <w:abstractNumId w:val="12"/>
  </w:num>
  <w:num w:numId="5" w16cid:durableId="1126004458">
    <w:abstractNumId w:val="19"/>
  </w:num>
  <w:num w:numId="6" w16cid:durableId="1832287523">
    <w:abstractNumId w:val="18"/>
  </w:num>
  <w:num w:numId="7" w16cid:durableId="650326628">
    <w:abstractNumId w:val="5"/>
  </w:num>
  <w:num w:numId="8" w16cid:durableId="479687287">
    <w:abstractNumId w:val="11"/>
  </w:num>
  <w:num w:numId="9" w16cid:durableId="314380672">
    <w:abstractNumId w:val="9"/>
  </w:num>
  <w:num w:numId="10" w16cid:durableId="1152482709">
    <w:abstractNumId w:val="4"/>
  </w:num>
  <w:num w:numId="11" w16cid:durableId="1525513223">
    <w:abstractNumId w:val="17"/>
  </w:num>
  <w:num w:numId="12" w16cid:durableId="1088385095">
    <w:abstractNumId w:val="6"/>
  </w:num>
  <w:num w:numId="13" w16cid:durableId="16279574">
    <w:abstractNumId w:val="3"/>
  </w:num>
  <w:num w:numId="14" w16cid:durableId="255604057">
    <w:abstractNumId w:val="7"/>
  </w:num>
  <w:num w:numId="15" w16cid:durableId="1844464810">
    <w:abstractNumId w:val="2"/>
  </w:num>
  <w:num w:numId="16" w16cid:durableId="66342939">
    <w:abstractNumId w:val="7"/>
  </w:num>
  <w:num w:numId="17" w16cid:durableId="2099330109">
    <w:abstractNumId w:val="1"/>
  </w:num>
  <w:num w:numId="18" w16cid:durableId="1766610646">
    <w:abstractNumId w:val="7"/>
  </w:num>
  <w:num w:numId="19" w16cid:durableId="1623415617">
    <w:abstractNumId w:val="0"/>
  </w:num>
  <w:num w:numId="20" w16cid:durableId="330914704">
    <w:abstractNumId w:val="7"/>
  </w:num>
  <w:num w:numId="21" w16cid:durableId="1221289378">
    <w:abstractNumId w:val="13"/>
  </w:num>
  <w:num w:numId="22" w16cid:durableId="4608511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4494564">
    <w:abstractNumId w:val="11"/>
  </w:num>
  <w:num w:numId="24" w16cid:durableId="1994598281">
    <w:abstractNumId w:val="11"/>
  </w:num>
  <w:num w:numId="25" w16cid:durableId="154880557">
    <w:abstractNumId w:val="11"/>
  </w:num>
  <w:num w:numId="26" w16cid:durableId="1657758751">
    <w:abstractNumId w:val="14"/>
  </w:num>
  <w:num w:numId="27" w16cid:durableId="1732192446">
    <w:abstractNumId w:val="8"/>
  </w:num>
  <w:num w:numId="28" w16cid:durableId="1546521956">
    <w:abstractNumId w:val="8"/>
  </w:num>
  <w:num w:numId="29" w16cid:durableId="1733961869">
    <w:abstractNumId w:val="8"/>
  </w:num>
  <w:num w:numId="30" w16cid:durableId="1171723698">
    <w:abstractNumId w:val="8"/>
  </w:num>
  <w:num w:numId="31" w16cid:durableId="1192261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AD"/>
    <w:rsid w:val="000052C2"/>
    <w:rsid w:val="00017ADF"/>
    <w:rsid w:val="00036EA4"/>
    <w:rsid w:val="00056D58"/>
    <w:rsid w:val="00072056"/>
    <w:rsid w:val="0008358B"/>
    <w:rsid w:val="000B18D0"/>
    <w:rsid w:val="000B3D72"/>
    <w:rsid w:val="000B5DF7"/>
    <w:rsid w:val="000C697E"/>
    <w:rsid w:val="00112FC8"/>
    <w:rsid w:val="00121A65"/>
    <w:rsid w:val="00133233"/>
    <w:rsid w:val="00166D70"/>
    <w:rsid w:val="00187EDB"/>
    <w:rsid w:val="001A4C68"/>
    <w:rsid w:val="001D3E2E"/>
    <w:rsid w:val="001F00FA"/>
    <w:rsid w:val="001F387D"/>
    <w:rsid w:val="00203AE5"/>
    <w:rsid w:val="0021026B"/>
    <w:rsid w:val="00211D85"/>
    <w:rsid w:val="002209ED"/>
    <w:rsid w:val="002325E5"/>
    <w:rsid w:val="00255460"/>
    <w:rsid w:val="0026447F"/>
    <w:rsid w:val="00273F0C"/>
    <w:rsid w:val="00274FC3"/>
    <w:rsid w:val="002A5A33"/>
    <w:rsid w:val="002A6E33"/>
    <w:rsid w:val="002C22F8"/>
    <w:rsid w:val="002C6078"/>
    <w:rsid w:val="002E3301"/>
    <w:rsid w:val="002F74DC"/>
    <w:rsid w:val="00324ACC"/>
    <w:rsid w:val="003322E3"/>
    <w:rsid w:val="00337ECC"/>
    <w:rsid w:val="00353577"/>
    <w:rsid w:val="00370985"/>
    <w:rsid w:val="004020AF"/>
    <w:rsid w:val="004331E2"/>
    <w:rsid w:val="0044564B"/>
    <w:rsid w:val="00447E5B"/>
    <w:rsid w:val="0045005E"/>
    <w:rsid w:val="004A01DD"/>
    <w:rsid w:val="004B3FCE"/>
    <w:rsid w:val="004E4C99"/>
    <w:rsid w:val="004F00F9"/>
    <w:rsid w:val="00526738"/>
    <w:rsid w:val="0054177C"/>
    <w:rsid w:val="00566A3F"/>
    <w:rsid w:val="00586B61"/>
    <w:rsid w:val="00594040"/>
    <w:rsid w:val="005D057D"/>
    <w:rsid w:val="00630EBD"/>
    <w:rsid w:val="00640403"/>
    <w:rsid w:val="006557D3"/>
    <w:rsid w:val="0068617F"/>
    <w:rsid w:val="006B79CC"/>
    <w:rsid w:val="006F4BA3"/>
    <w:rsid w:val="007024A8"/>
    <w:rsid w:val="00714A48"/>
    <w:rsid w:val="00735C94"/>
    <w:rsid w:val="007509EC"/>
    <w:rsid w:val="00757059"/>
    <w:rsid w:val="007610C8"/>
    <w:rsid w:val="00770A1A"/>
    <w:rsid w:val="00781512"/>
    <w:rsid w:val="00782248"/>
    <w:rsid w:val="007928BF"/>
    <w:rsid w:val="007979D0"/>
    <w:rsid w:val="007B36C4"/>
    <w:rsid w:val="007B5744"/>
    <w:rsid w:val="00815189"/>
    <w:rsid w:val="00857253"/>
    <w:rsid w:val="00862FE6"/>
    <w:rsid w:val="008725B2"/>
    <w:rsid w:val="008745BD"/>
    <w:rsid w:val="008A21F3"/>
    <w:rsid w:val="008C7909"/>
    <w:rsid w:val="008E398E"/>
    <w:rsid w:val="008F651A"/>
    <w:rsid w:val="00913440"/>
    <w:rsid w:val="00920EAE"/>
    <w:rsid w:val="0092744E"/>
    <w:rsid w:val="00937AA8"/>
    <w:rsid w:val="00951FFD"/>
    <w:rsid w:val="00963838"/>
    <w:rsid w:val="009927A0"/>
    <w:rsid w:val="009A02D8"/>
    <w:rsid w:val="009A7620"/>
    <w:rsid w:val="009F53C2"/>
    <w:rsid w:val="00A0670A"/>
    <w:rsid w:val="00A22584"/>
    <w:rsid w:val="00A25FB7"/>
    <w:rsid w:val="00A312A9"/>
    <w:rsid w:val="00A4452B"/>
    <w:rsid w:val="00A64EBC"/>
    <w:rsid w:val="00A90305"/>
    <w:rsid w:val="00A93C25"/>
    <w:rsid w:val="00AB0F79"/>
    <w:rsid w:val="00AE71B9"/>
    <w:rsid w:val="00B10458"/>
    <w:rsid w:val="00B109FD"/>
    <w:rsid w:val="00B1700A"/>
    <w:rsid w:val="00B40B25"/>
    <w:rsid w:val="00BC5DDC"/>
    <w:rsid w:val="00C02B0F"/>
    <w:rsid w:val="00C336BF"/>
    <w:rsid w:val="00C37AC2"/>
    <w:rsid w:val="00C45E6D"/>
    <w:rsid w:val="00C629B2"/>
    <w:rsid w:val="00C80D3A"/>
    <w:rsid w:val="00C84CAD"/>
    <w:rsid w:val="00CB1D60"/>
    <w:rsid w:val="00CC4E3A"/>
    <w:rsid w:val="00CD78BE"/>
    <w:rsid w:val="00D64108"/>
    <w:rsid w:val="00D67782"/>
    <w:rsid w:val="00D70EA1"/>
    <w:rsid w:val="00D724CC"/>
    <w:rsid w:val="00D7427A"/>
    <w:rsid w:val="00D8435B"/>
    <w:rsid w:val="00DB2322"/>
    <w:rsid w:val="00DE74B1"/>
    <w:rsid w:val="00DF4BDF"/>
    <w:rsid w:val="00E05C8E"/>
    <w:rsid w:val="00E13872"/>
    <w:rsid w:val="00E20808"/>
    <w:rsid w:val="00E22511"/>
    <w:rsid w:val="00E47608"/>
    <w:rsid w:val="00E82F4A"/>
    <w:rsid w:val="00E905D6"/>
    <w:rsid w:val="00E9231C"/>
    <w:rsid w:val="00E96B46"/>
    <w:rsid w:val="00EA665E"/>
    <w:rsid w:val="00EB35D1"/>
    <w:rsid w:val="00ED6F59"/>
    <w:rsid w:val="00EE1AEF"/>
    <w:rsid w:val="00EF0586"/>
    <w:rsid w:val="00F21A73"/>
    <w:rsid w:val="00F366E2"/>
    <w:rsid w:val="00F51F46"/>
    <w:rsid w:val="00F53AB3"/>
    <w:rsid w:val="00F804E0"/>
    <w:rsid w:val="00F96811"/>
    <w:rsid w:val="00FB6CFF"/>
    <w:rsid w:val="00FE03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3974E"/>
  <w15:chartTrackingRefBased/>
  <w15:docId w15:val="{3452421A-C628-4539-BB0A-B5E7E59F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5E"/>
    <w:pPr>
      <w:spacing w:before="120" w:after="120" w:line="276" w:lineRule="auto"/>
    </w:pPr>
  </w:style>
  <w:style w:type="paragraph" w:styleId="Heading1">
    <w:name w:val="heading 1"/>
    <w:basedOn w:val="Normal"/>
    <w:next w:val="NumberedParagraph"/>
    <w:link w:val="Heading1Char"/>
    <w:uiPriority w:val="1"/>
    <w:qFormat/>
    <w:rsid w:val="00A22584"/>
    <w:pPr>
      <w:keepNext/>
      <w:numPr>
        <w:numId w:val="25"/>
      </w:numPr>
      <w:spacing w:before="400"/>
      <w:outlineLvl w:val="0"/>
    </w:pPr>
    <w:rPr>
      <w:b/>
      <w:color w:val="1A6DAD" w:themeColor="accent6"/>
      <w:sz w:val="32"/>
      <w:szCs w:val="40"/>
    </w:rPr>
  </w:style>
  <w:style w:type="paragraph" w:styleId="Heading2">
    <w:name w:val="heading 2"/>
    <w:basedOn w:val="Normal"/>
    <w:next w:val="Normal"/>
    <w:link w:val="Heading2Char"/>
    <w:uiPriority w:val="9"/>
    <w:qFormat/>
    <w:rsid w:val="008C7909"/>
    <w:pPr>
      <w:keepNext/>
      <w:spacing w:before="240"/>
      <w:outlineLvl w:val="1"/>
    </w:pPr>
    <w:rPr>
      <w:b/>
      <w:color w:val="002749" w:themeColor="accent1"/>
      <w:sz w:val="24"/>
      <w:szCs w:val="28"/>
    </w:rPr>
  </w:style>
  <w:style w:type="paragraph" w:styleId="Heading3">
    <w:name w:val="heading 3"/>
    <w:basedOn w:val="Normal"/>
    <w:next w:val="Normal"/>
    <w:link w:val="Heading3Char"/>
    <w:uiPriority w:val="9"/>
    <w:qFormat/>
    <w:rsid w:val="008C7909"/>
    <w:pPr>
      <w:keepNext/>
      <w:spacing w:before="240"/>
      <w:outlineLvl w:val="2"/>
    </w:pPr>
    <w:rPr>
      <w:b/>
      <w:color w:val="1A6DAD" w:themeColor="accent6"/>
    </w:rPr>
  </w:style>
  <w:style w:type="paragraph" w:styleId="Heading4">
    <w:name w:val="heading 4"/>
    <w:basedOn w:val="Normal"/>
    <w:next w:val="Normal"/>
    <w:link w:val="Heading4Char"/>
    <w:uiPriority w:val="9"/>
    <w:qFormat/>
    <w:rsid w:val="008C7909"/>
    <w:pPr>
      <w:keepNext/>
      <w:spacing w:before="240"/>
      <w:outlineLvl w:val="3"/>
    </w:pPr>
    <w:rPr>
      <w:b/>
    </w:rPr>
  </w:style>
  <w:style w:type="paragraph" w:styleId="Heading5">
    <w:name w:val="heading 5"/>
    <w:basedOn w:val="Normal"/>
    <w:next w:val="Normal"/>
    <w:link w:val="Heading5Char"/>
    <w:uiPriority w:val="9"/>
    <w:qFormat/>
    <w:rsid w:val="008C7909"/>
    <w:pPr>
      <w:keepNext/>
      <w:keepLines/>
      <w:spacing w:before="40" w:after="0"/>
      <w:outlineLvl w:val="4"/>
    </w:pPr>
    <w:rPr>
      <w:rFonts w:asciiTheme="majorHAnsi" w:eastAsiaTheme="majorEastAsia" w:hAnsiTheme="majorHAnsi" w:cstheme="majorBidi"/>
      <w:i/>
      <w:color w:val="001D3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620"/>
    <w:pPr>
      <w:spacing w:before="120" w:after="120" w:line="240" w:lineRule="auto"/>
    </w:pPr>
    <w:rPr>
      <w:sz w:val="20"/>
    </w:rPr>
    <w:tblPr>
      <w:tblStyleRowBandSize w:val="1"/>
      <w:tblBorders>
        <w:top w:val="single" w:sz="4" w:space="0" w:color="002749" w:themeColor="accent1"/>
        <w:bottom w:val="single" w:sz="4" w:space="0" w:color="002749" w:themeColor="accent1"/>
        <w:insideH w:val="single" w:sz="4" w:space="0" w:color="002749" w:themeColor="accent1"/>
      </w:tblBorders>
    </w:tblPr>
    <w:tblStylePr w:type="firstRow">
      <w:rPr>
        <w:rFonts w:asciiTheme="minorHAnsi" w:hAnsiTheme="minorHAnsi"/>
        <w:b/>
        <w:color w:val="FFFFFF" w:themeColor="background1"/>
        <w:sz w:val="20"/>
        <w:u w:val="none"/>
      </w:rPr>
      <w:tblPr/>
      <w:tcPr>
        <w:shd w:val="clear" w:color="auto" w:fill="002749" w:themeFill="accent1"/>
      </w:tcPr>
    </w:tblStylePr>
    <w:tblStylePr w:type="firstCol">
      <w:rPr>
        <w:b/>
        <w:color w:val="000000" w:themeColor="text1"/>
      </w:rPr>
      <w:tblPr/>
      <w:tcPr>
        <w:shd w:val="clear" w:color="auto" w:fill="D1D2AB" w:themeFill="accent3"/>
      </w:tcPr>
    </w:tblStylePr>
    <w:tblStylePr w:type="band1Horz">
      <w:tblPr/>
      <w:tcPr>
        <w:shd w:val="clear" w:color="auto" w:fill="F2F3E8" w:themeFill="accent5"/>
      </w:tcPr>
    </w:tblStylePr>
    <w:tblStylePr w:type="band2Horz">
      <w:tblPr/>
      <w:tcPr>
        <w:shd w:val="clear" w:color="auto" w:fill="E0E3C9" w:themeFill="accent5" w:themeFillShade="E6"/>
      </w:tcPr>
    </w:tblStylePr>
  </w:style>
  <w:style w:type="character" w:styleId="PlaceholderText">
    <w:name w:val="Placeholder Text"/>
    <w:basedOn w:val="DefaultParagraphFont"/>
    <w:uiPriority w:val="99"/>
    <w:semiHidden/>
    <w:rsid w:val="008A21F3"/>
    <w:rPr>
      <w:color w:val="808080"/>
    </w:rPr>
  </w:style>
  <w:style w:type="paragraph" w:styleId="Title">
    <w:name w:val="Title"/>
    <w:basedOn w:val="Normal"/>
    <w:next w:val="Normal"/>
    <w:link w:val="TitleChar"/>
    <w:uiPriority w:val="10"/>
    <w:qFormat/>
    <w:rsid w:val="00CC4E3A"/>
    <w:pPr>
      <w:jc w:val="center"/>
    </w:pPr>
    <w:rPr>
      <w:rFonts w:asciiTheme="majorHAnsi" w:hAnsiTheme="majorHAnsi"/>
      <w:color w:val="002749" w:themeColor="accent1"/>
      <w:sz w:val="64"/>
      <w:szCs w:val="64"/>
    </w:rPr>
  </w:style>
  <w:style w:type="character" w:customStyle="1" w:styleId="TitleChar">
    <w:name w:val="Title Char"/>
    <w:basedOn w:val="DefaultParagraphFont"/>
    <w:link w:val="Title"/>
    <w:uiPriority w:val="10"/>
    <w:rsid w:val="00CC4E3A"/>
    <w:rPr>
      <w:rFonts w:asciiTheme="majorHAnsi" w:hAnsiTheme="majorHAnsi"/>
      <w:color w:val="002749" w:themeColor="accent1"/>
      <w:sz w:val="64"/>
      <w:szCs w:val="64"/>
    </w:rPr>
  </w:style>
  <w:style w:type="paragraph" w:styleId="Subtitle">
    <w:name w:val="Subtitle"/>
    <w:basedOn w:val="Normal"/>
    <w:next w:val="Normal"/>
    <w:link w:val="SubtitleChar"/>
    <w:uiPriority w:val="11"/>
    <w:qFormat/>
    <w:rsid w:val="0068617F"/>
    <w:pPr>
      <w:jc w:val="center"/>
    </w:pPr>
    <w:rPr>
      <w:sz w:val="40"/>
    </w:rPr>
  </w:style>
  <w:style w:type="character" w:customStyle="1" w:styleId="SubtitleChar">
    <w:name w:val="Subtitle Char"/>
    <w:basedOn w:val="DefaultParagraphFont"/>
    <w:link w:val="Subtitle"/>
    <w:uiPriority w:val="11"/>
    <w:rsid w:val="0068617F"/>
    <w:rPr>
      <w:sz w:val="40"/>
    </w:rPr>
  </w:style>
  <w:style w:type="paragraph" w:styleId="Date">
    <w:name w:val="Date"/>
    <w:basedOn w:val="Normal"/>
    <w:next w:val="Normal"/>
    <w:link w:val="DateChar"/>
    <w:uiPriority w:val="99"/>
    <w:rsid w:val="00E82F4A"/>
    <w:pPr>
      <w:jc w:val="center"/>
    </w:pPr>
    <w:rPr>
      <w:color w:val="002749" w:themeColor="accent1"/>
      <w:sz w:val="24"/>
      <w:szCs w:val="24"/>
    </w:rPr>
  </w:style>
  <w:style w:type="character" w:customStyle="1" w:styleId="DateChar">
    <w:name w:val="Date Char"/>
    <w:basedOn w:val="DefaultParagraphFont"/>
    <w:link w:val="Date"/>
    <w:uiPriority w:val="99"/>
    <w:rsid w:val="00E82F4A"/>
    <w:rPr>
      <w:color w:val="002749" w:themeColor="accent1"/>
      <w:sz w:val="24"/>
      <w:szCs w:val="24"/>
    </w:rPr>
  </w:style>
  <w:style w:type="paragraph" w:styleId="Header">
    <w:name w:val="header"/>
    <w:basedOn w:val="Normal"/>
    <w:link w:val="HeaderChar"/>
    <w:uiPriority w:val="99"/>
    <w:unhideWhenUsed/>
    <w:rsid w:val="004F00F9"/>
    <w:pPr>
      <w:tabs>
        <w:tab w:val="center" w:pos="4513"/>
        <w:tab w:val="right" w:pos="9026"/>
      </w:tabs>
      <w:spacing w:after="0" w:line="240" w:lineRule="auto"/>
    </w:pPr>
    <w:rPr>
      <w:b/>
      <w:color w:val="002749" w:themeColor="accent1"/>
    </w:rPr>
  </w:style>
  <w:style w:type="character" w:customStyle="1" w:styleId="HeaderChar">
    <w:name w:val="Header Char"/>
    <w:basedOn w:val="DefaultParagraphFont"/>
    <w:link w:val="Header"/>
    <w:uiPriority w:val="99"/>
    <w:rsid w:val="004F00F9"/>
    <w:rPr>
      <w:b/>
      <w:color w:val="002749" w:themeColor="accent1"/>
    </w:rPr>
  </w:style>
  <w:style w:type="paragraph" w:styleId="Footer">
    <w:name w:val="footer"/>
    <w:basedOn w:val="Normal"/>
    <w:link w:val="FooterChar"/>
    <w:uiPriority w:val="99"/>
    <w:unhideWhenUsed/>
    <w:rsid w:val="009927A0"/>
    <w:pPr>
      <w:tabs>
        <w:tab w:val="center" w:pos="4513"/>
        <w:tab w:val="right" w:pos="9026"/>
      </w:tabs>
      <w:spacing w:after="0" w:line="240" w:lineRule="auto"/>
    </w:pPr>
    <w:rPr>
      <w:color w:val="002749" w:themeColor="accent1"/>
      <w:sz w:val="18"/>
    </w:rPr>
  </w:style>
  <w:style w:type="character" w:customStyle="1" w:styleId="FooterChar">
    <w:name w:val="Footer Char"/>
    <w:basedOn w:val="DefaultParagraphFont"/>
    <w:link w:val="Footer"/>
    <w:uiPriority w:val="99"/>
    <w:rsid w:val="009927A0"/>
    <w:rPr>
      <w:color w:val="002749" w:themeColor="accent1"/>
      <w:sz w:val="18"/>
    </w:rPr>
  </w:style>
  <w:style w:type="character" w:customStyle="1" w:styleId="Heading1Char">
    <w:name w:val="Heading 1 Char"/>
    <w:basedOn w:val="DefaultParagraphFont"/>
    <w:link w:val="Heading1"/>
    <w:uiPriority w:val="1"/>
    <w:rsid w:val="00A22584"/>
    <w:rPr>
      <w:b/>
      <w:color w:val="1A6DAD" w:themeColor="accent6"/>
      <w:sz w:val="32"/>
      <w:szCs w:val="40"/>
    </w:rPr>
  </w:style>
  <w:style w:type="paragraph" w:styleId="ListParagraph">
    <w:name w:val="List Paragraph"/>
    <w:basedOn w:val="Normal"/>
    <w:uiPriority w:val="34"/>
    <w:qFormat/>
    <w:rsid w:val="002209ED"/>
    <w:pPr>
      <w:numPr>
        <w:numId w:val="1"/>
      </w:numPr>
    </w:pPr>
  </w:style>
  <w:style w:type="character" w:customStyle="1" w:styleId="Heading2Char">
    <w:name w:val="Heading 2 Char"/>
    <w:basedOn w:val="DefaultParagraphFont"/>
    <w:link w:val="Heading2"/>
    <w:uiPriority w:val="9"/>
    <w:rsid w:val="008C7909"/>
    <w:rPr>
      <w:b/>
      <w:color w:val="002749" w:themeColor="accent1"/>
      <w:sz w:val="24"/>
      <w:szCs w:val="28"/>
    </w:rPr>
  </w:style>
  <w:style w:type="character" w:customStyle="1" w:styleId="Heading3Char">
    <w:name w:val="Heading 3 Char"/>
    <w:basedOn w:val="DefaultParagraphFont"/>
    <w:link w:val="Heading3"/>
    <w:uiPriority w:val="9"/>
    <w:rsid w:val="008C7909"/>
    <w:rPr>
      <w:b/>
      <w:color w:val="1A6DAD" w:themeColor="accent6"/>
    </w:rPr>
  </w:style>
  <w:style w:type="character" w:customStyle="1" w:styleId="Heading4Char">
    <w:name w:val="Heading 4 Char"/>
    <w:basedOn w:val="DefaultParagraphFont"/>
    <w:link w:val="Heading4"/>
    <w:uiPriority w:val="9"/>
    <w:rsid w:val="008C7909"/>
    <w:rPr>
      <w:b/>
    </w:rPr>
  </w:style>
  <w:style w:type="paragraph" w:styleId="Caption">
    <w:name w:val="caption"/>
    <w:basedOn w:val="Normal"/>
    <w:next w:val="Normal"/>
    <w:uiPriority w:val="35"/>
    <w:qFormat/>
    <w:rsid w:val="0045005E"/>
    <w:pPr>
      <w:keepNext/>
      <w:spacing w:before="240"/>
    </w:pPr>
    <w:rPr>
      <w:b/>
    </w:rPr>
  </w:style>
  <w:style w:type="paragraph" w:styleId="FootnoteText">
    <w:name w:val="footnote text"/>
    <w:basedOn w:val="Normal"/>
    <w:link w:val="FootnoteTextChar"/>
    <w:uiPriority w:val="99"/>
    <w:qFormat/>
    <w:rsid w:val="000B3D72"/>
    <w:pPr>
      <w:spacing w:before="60" w:after="0" w:line="240" w:lineRule="auto"/>
      <w:ind w:left="284" w:hanging="284"/>
    </w:pPr>
    <w:rPr>
      <w:sz w:val="18"/>
      <w:szCs w:val="18"/>
    </w:rPr>
  </w:style>
  <w:style w:type="character" w:customStyle="1" w:styleId="FootnoteTextChar">
    <w:name w:val="Footnote Text Char"/>
    <w:basedOn w:val="DefaultParagraphFont"/>
    <w:link w:val="FootnoteText"/>
    <w:uiPriority w:val="99"/>
    <w:rsid w:val="000B3D72"/>
    <w:rPr>
      <w:sz w:val="18"/>
      <w:szCs w:val="18"/>
    </w:rPr>
  </w:style>
  <w:style w:type="character" w:styleId="FootnoteReference">
    <w:name w:val="footnote reference"/>
    <w:basedOn w:val="DefaultParagraphFont"/>
    <w:uiPriority w:val="99"/>
    <w:semiHidden/>
    <w:unhideWhenUsed/>
    <w:rsid w:val="004E4C99"/>
    <w:rPr>
      <w:vertAlign w:val="superscript"/>
    </w:rPr>
  </w:style>
  <w:style w:type="paragraph" w:styleId="NoSpacing">
    <w:name w:val="No Spacing"/>
    <w:uiPriority w:val="1"/>
    <w:qFormat/>
    <w:rsid w:val="004E4C99"/>
    <w:pPr>
      <w:spacing w:after="0" w:line="240" w:lineRule="auto"/>
    </w:pPr>
  </w:style>
  <w:style w:type="numbering" w:customStyle="1" w:styleId="Style1">
    <w:name w:val="Style1"/>
    <w:uiPriority w:val="99"/>
    <w:rsid w:val="002209ED"/>
    <w:pPr>
      <w:numPr>
        <w:numId w:val="5"/>
      </w:numPr>
    </w:pPr>
  </w:style>
  <w:style w:type="paragraph" w:customStyle="1" w:styleId="NumberedParagraph">
    <w:name w:val="Numbered Paragraph"/>
    <w:basedOn w:val="ListParagraph"/>
    <w:qFormat/>
    <w:rsid w:val="002209ED"/>
    <w:pPr>
      <w:numPr>
        <w:ilvl w:val="1"/>
        <w:numId w:val="25"/>
      </w:numPr>
    </w:pPr>
  </w:style>
  <w:style w:type="paragraph" w:styleId="TOCHeading">
    <w:name w:val="TOC Heading"/>
    <w:basedOn w:val="Heading1"/>
    <w:next w:val="Normal"/>
    <w:uiPriority w:val="39"/>
    <w:semiHidden/>
    <w:qFormat/>
    <w:rsid w:val="00AE71B9"/>
    <w:pPr>
      <w:keepLines/>
      <w:spacing w:before="240"/>
      <w:outlineLvl w:val="9"/>
    </w:pPr>
    <w:rPr>
      <w:rFonts w:asciiTheme="majorHAnsi" w:eastAsiaTheme="majorEastAsia" w:hAnsiTheme="majorHAnsi" w:cstheme="majorBidi"/>
      <w:b w:val="0"/>
      <w:szCs w:val="32"/>
      <w:lang w:val="en-US"/>
    </w:rPr>
  </w:style>
  <w:style w:type="paragraph" w:styleId="TOC1">
    <w:name w:val="toc 1"/>
    <w:basedOn w:val="Normal"/>
    <w:next w:val="Normal"/>
    <w:autoRedefine/>
    <w:uiPriority w:val="39"/>
    <w:rsid w:val="001F387D"/>
    <w:pPr>
      <w:tabs>
        <w:tab w:val="left" w:pos="567"/>
        <w:tab w:val="right" w:pos="9016"/>
      </w:tabs>
      <w:spacing w:after="100"/>
    </w:pPr>
    <w:rPr>
      <w:b/>
    </w:rPr>
  </w:style>
  <w:style w:type="paragraph" w:styleId="TOC2">
    <w:name w:val="toc 2"/>
    <w:basedOn w:val="Normal"/>
    <w:next w:val="Normal"/>
    <w:autoRedefine/>
    <w:uiPriority w:val="39"/>
    <w:rsid w:val="002209ED"/>
    <w:pPr>
      <w:tabs>
        <w:tab w:val="right" w:pos="9016"/>
      </w:tabs>
      <w:spacing w:after="100"/>
      <w:ind w:left="567"/>
    </w:pPr>
    <w:rPr>
      <w:noProof/>
    </w:rPr>
  </w:style>
  <w:style w:type="paragraph" w:styleId="TOC3">
    <w:name w:val="toc 3"/>
    <w:basedOn w:val="Normal"/>
    <w:next w:val="Normal"/>
    <w:autoRedefine/>
    <w:uiPriority w:val="39"/>
    <w:semiHidden/>
    <w:rsid w:val="002209ED"/>
    <w:pPr>
      <w:tabs>
        <w:tab w:val="right" w:pos="9016"/>
      </w:tabs>
      <w:spacing w:after="100"/>
      <w:ind w:left="1134"/>
    </w:pPr>
    <w:rPr>
      <w:noProof/>
    </w:rPr>
  </w:style>
  <w:style w:type="character" w:styleId="Hyperlink">
    <w:name w:val="Hyperlink"/>
    <w:basedOn w:val="DefaultParagraphFont"/>
    <w:uiPriority w:val="99"/>
    <w:unhideWhenUsed/>
    <w:rsid w:val="002209ED"/>
    <w:rPr>
      <w:color w:val="002749" w:themeColor="hyperlink"/>
      <w:u w:val="single"/>
    </w:rPr>
  </w:style>
  <w:style w:type="table" w:styleId="TableGridLight">
    <w:name w:val="Grid Table Light"/>
    <w:basedOn w:val="TableNormal"/>
    <w:uiPriority w:val="40"/>
    <w:rsid w:val="00E92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ATable2">
    <w:name w:val="EA Table 2"/>
    <w:basedOn w:val="TableNormal"/>
    <w:uiPriority w:val="99"/>
    <w:rsid w:val="00E9231C"/>
    <w:pPr>
      <w:spacing w:after="0" w:line="240" w:lineRule="auto"/>
    </w:pPr>
    <w:tblPr>
      <w:tblStyleRowBandSize w:val="1"/>
      <w:tblStyleColBandSize w:val="1"/>
      <w:tblBorders>
        <w:bottom w:val="single" w:sz="4" w:space="0" w:color="auto"/>
        <w:insideH w:val="single" w:sz="4" w:space="0" w:color="auto"/>
        <w:insideV w:val="single" w:sz="4" w:space="0" w:color="auto"/>
      </w:tblBorders>
    </w:tblPr>
    <w:tblStylePr w:type="firstRow">
      <w:rPr>
        <w:b/>
      </w:rPr>
      <w:tblPr/>
      <w:tcPr>
        <w:shd w:val="clear" w:color="auto" w:fill="002749" w:themeFill="accent1"/>
      </w:tcPr>
    </w:tblStylePr>
    <w:tblStylePr w:type="band1Horz">
      <w:tblPr/>
      <w:tcPr>
        <w:shd w:val="clear" w:color="auto" w:fill="F4F4F4"/>
      </w:tcPr>
    </w:tblStylePr>
    <w:tblStylePr w:type="band2Horz">
      <w:tblPr/>
      <w:tcPr>
        <w:shd w:val="clear" w:color="auto" w:fill="D7E1EF"/>
      </w:tcPr>
    </w:tblStylePr>
  </w:style>
  <w:style w:type="table" w:customStyle="1" w:styleId="TableGrid1">
    <w:name w:val="Table Grid1"/>
    <w:basedOn w:val="TableNormal"/>
    <w:next w:val="TableGrid"/>
    <w:uiPriority w:val="39"/>
    <w:rsid w:val="00E0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Table">
    <w:name w:val="EA Table"/>
    <w:basedOn w:val="TableNormal"/>
    <w:uiPriority w:val="99"/>
    <w:rsid w:val="00AB0F79"/>
    <w:pPr>
      <w:spacing w:before="60" w:after="60" w:line="240" w:lineRule="auto"/>
    </w:pPr>
    <w:tblPr>
      <w:tblBorders>
        <w:top w:val="single" w:sz="4" w:space="0" w:color="1A6DAD"/>
        <w:left w:val="single" w:sz="4" w:space="0" w:color="1A6DAD"/>
        <w:bottom w:val="single" w:sz="4" w:space="0" w:color="1A6DAD"/>
        <w:right w:val="single" w:sz="4" w:space="0" w:color="1A6DAD"/>
        <w:insideH w:val="single" w:sz="4" w:space="0" w:color="1A6DAD"/>
        <w:insideV w:val="single" w:sz="4" w:space="0" w:color="1A6DAD"/>
      </w:tblBorders>
      <w:tblCellMar>
        <w:left w:w="85" w:type="dxa"/>
        <w:right w:w="85" w:type="dxa"/>
      </w:tblCellMar>
    </w:tblPr>
    <w:tblStylePr w:type="firstRow">
      <w:rPr>
        <w:b/>
      </w:rPr>
      <w:tblPr/>
      <w:tcPr>
        <w:shd w:val="clear" w:color="auto" w:fill="F7F7F1"/>
      </w:tcPr>
    </w:tblStylePr>
  </w:style>
  <w:style w:type="paragraph" w:customStyle="1" w:styleId="Heading1NoNumber">
    <w:name w:val="Heading 1 No Number"/>
    <w:basedOn w:val="Heading1"/>
    <w:next w:val="Normal"/>
    <w:uiPriority w:val="1"/>
    <w:qFormat/>
    <w:rsid w:val="00A22584"/>
    <w:pPr>
      <w:numPr>
        <w:numId w:val="0"/>
      </w:numPr>
    </w:pPr>
  </w:style>
  <w:style w:type="table" w:customStyle="1" w:styleId="Question">
    <w:name w:val="Question"/>
    <w:basedOn w:val="TableNormal"/>
    <w:uiPriority w:val="99"/>
    <w:rsid w:val="009A02D8"/>
    <w:pPr>
      <w:spacing w:after="0" w:line="240" w:lineRule="auto"/>
    </w:pPr>
    <w:tblPr/>
    <w:tcPr>
      <w:shd w:val="clear" w:color="auto" w:fill="D7E1EF"/>
    </w:tcPr>
  </w:style>
  <w:style w:type="paragraph" w:customStyle="1" w:styleId="AppendixHeading">
    <w:name w:val="Appendix Heading"/>
    <w:basedOn w:val="Heading1NoNumber"/>
    <w:uiPriority w:val="9"/>
    <w:qFormat/>
    <w:rsid w:val="008725B2"/>
    <w:pPr>
      <w:numPr>
        <w:numId w:val="30"/>
      </w:numPr>
    </w:pPr>
    <w:rPr>
      <w:lang w:val="mi-NZ"/>
    </w:rPr>
  </w:style>
  <w:style w:type="character" w:customStyle="1" w:styleId="Heading5Char">
    <w:name w:val="Heading 5 Char"/>
    <w:basedOn w:val="DefaultParagraphFont"/>
    <w:link w:val="Heading5"/>
    <w:uiPriority w:val="9"/>
    <w:rsid w:val="008C7909"/>
    <w:rPr>
      <w:rFonts w:asciiTheme="majorHAnsi" w:eastAsiaTheme="majorEastAsia" w:hAnsiTheme="majorHAnsi" w:cstheme="majorBidi"/>
      <w:i/>
      <w:color w:val="001D36" w:themeColor="accent1" w:themeShade="BF"/>
    </w:rPr>
  </w:style>
  <w:style w:type="paragraph" w:styleId="Quote">
    <w:name w:val="Quote"/>
    <w:basedOn w:val="Normal"/>
    <w:next w:val="Normal"/>
    <w:link w:val="QuoteChar"/>
    <w:uiPriority w:val="29"/>
    <w:qFormat/>
    <w:rsid w:val="00757059"/>
    <w:pPr>
      <w:ind w:left="567" w:right="567"/>
    </w:pPr>
  </w:style>
  <w:style w:type="character" w:customStyle="1" w:styleId="QuoteChar">
    <w:name w:val="Quote Char"/>
    <w:basedOn w:val="DefaultParagraphFont"/>
    <w:link w:val="Quote"/>
    <w:uiPriority w:val="29"/>
    <w:rsid w:val="00757059"/>
  </w:style>
  <w:style w:type="paragraph" w:styleId="ListBullet">
    <w:name w:val="List Bullet"/>
    <w:basedOn w:val="Normal"/>
    <w:uiPriority w:val="2"/>
    <w:qFormat/>
    <w:rsid w:val="00D70EA1"/>
    <w:pPr>
      <w:numPr>
        <w:numId w:val="20"/>
      </w:numPr>
      <w:spacing w:before="0" w:line="269" w:lineRule="auto"/>
      <w:ind w:left="1191" w:hanging="340"/>
    </w:pPr>
    <w:rPr>
      <w:color w:val="000000"/>
    </w:rPr>
  </w:style>
  <w:style w:type="paragraph" w:styleId="ListBullet2">
    <w:name w:val="List Bullet 2"/>
    <w:basedOn w:val="Normal"/>
    <w:uiPriority w:val="2"/>
    <w:qFormat/>
    <w:rsid w:val="00D70EA1"/>
    <w:pPr>
      <w:numPr>
        <w:ilvl w:val="1"/>
        <w:numId w:val="20"/>
      </w:numPr>
      <w:spacing w:before="0" w:line="269" w:lineRule="auto"/>
    </w:pPr>
  </w:style>
  <w:style w:type="paragraph" w:styleId="ListBullet3">
    <w:name w:val="List Bullet 3"/>
    <w:basedOn w:val="Normal"/>
    <w:uiPriority w:val="2"/>
    <w:qFormat/>
    <w:rsid w:val="00D70EA1"/>
    <w:pPr>
      <w:numPr>
        <w:ilvl w:val="2"/>
        <w:numId w:val="20"/>
      </w:numPr>
      <w:spacing w:before="0" w:line="269" w:lineRule="auto"/>
    </w:pPr>
  </w:style>
  <w:style w:type="paragraph" w:styleId="ListBullet4">
    <w:name w:val="List Bullet 4"/>
    <w:basedOn w:val="Normal"/>
    <w:uiPriority w:val="2"/>
    <w:rsid w:val="00D70EA1"/>
    <w:pPr>
      <w:numPr>
        <w:ilvl w:val="3"/>
        <w:numId w:val="20"/>
      </w:numPr>
      <w:spacing w:before="0" w:line="269" w:lineRule="auto"/>
      <w:contextualSpacing/>
    </w:pPr>
  </w:style>
  <w:style w:type="paragraph" w:customStyle="1" w:styleId="Listabc">
    <w:name w:val="List a b c"/>
    <w:basedOn w:val="BodyText2"/>
    <w:uiPriority w:val="1"/>
    <w:qFormat/>
    <w:rsid w:val="0045005E"/>
    <w:pPr>
      <w:numPr>
        <w:ilvl w:val="2"/>
        <w:numId w:val="25"/>
      </w:numPr>
      <w:spacing w:before="0" w:line="240" w:lineRule="auto"/>
    </w:pPr>
  </w:style>
  <w:style w:type="paragraph" w:styleId="BodyText2">
    <w:name w:val="Body Text 2"/>
    <w:basedOn w:val="Normal"/>
    <w:link w:val="BodyText2Char"/>
    <w:uiPriority w:val="99"/>
    <w:semiHidden/>
    <w:unhideWhenUsed/>
    <w:rsid w:val="0045005E"/>
    <w:pPr>
      <w:spacing w:line="480" w:lineRule="auto"/>
    </w:pPr>
  </w:style>
  <w:style w:type="character" w:customStyle="1" w:styleId="BodyText2Char">
    <w:name w:val="Body Text 2 Char"/>
    <w:basedOn w:val="DefaultParagraphFont"/>
    <w:link w:val="BodyText2"/>
    <w:uiPriority w:val="99"/>
    <w:semiHidden/>
    <w:rsid w:val="0045005E"/>
  </w:style>
  <w:style w:type="paragraph" w:customStyle="1" w:styleId="Listabclevel2">
    <w:name w:val="List a b c level 2"/>
    <w:basedOn w:val="BodyText3"/>
    <w:uiPriority w:val="1"/>
    <w:qFormat/>
    <w:rsid w:val="0045005E"/>
    <w:pPr>
      <w:spacing w:before="0" w:line="240" w:lineRule="auto"/>
    </w:pPr>
    <w:rPr>
      <w:sz w:val="22"/>
    </w:rPr>
  </w:style>
  <w:style w:type="paragraph" w:styleId="BodyText3">
    <w:name w:val="Body Text 3"/>
    <w:basedOn w:val="Normal"/>
    <w:link w:val="BodyText3Char"/>
    <w:uiPriority w:val="99"/>
    <w:semiHidden/>
    <w:unhideWhenUsed/>
    <w:rsid w:val="0045005E"/>
    <w:rPr>
      <w:sz w:val="16"/>
      <w:szCs w:val="16"/>
    </w:rPr>
  </w:style>
  <w:style w:type="character" w:customStyle="1" w:styleId="BodyText3Char">
    <w:name w:val="Body Text 3 Char"/>
    <w:basedOn w:val="DefaultParagraphFont"/>
    <w:link w:val="BodyText3"/>
    <w:uiPriority w:val="99"/>
    <w:semiHidden/>
    <w:rsid w:val="0045005E"/>
    <w:rPr>
      <w:sz w:val="16"/>
      <w:szCs w:val="16"/>
    </w:rPr>
  </w:style>
  <w:style w:type="paragraph" w:customStyle="1" w:styleId="AppendixParagraph">
    <w:name w:val="Appendix Paragraph"/>
    <w:basedOn w:val="AppendixHeading"/>
    <w:uiPriority w:val="10"/>
    <w:qFormat/>
    <w:rsid w:val="008725B2"/>
    <w:pPr>
      <w:keepNext w:val="0"/>
      <w:numPr>
        <w:ilvl w:val="1"/>
      </w:numPr>
      <w:tabs>
        <w:tab w:val="num" w:pos="360"/>
      </w:tabs>
      <w:spacing w:before="0" w:line="240" w:lineRule="auto"/>
      <w:ind w:left="851" w:hanging="851"/>
    </w:pPr>
    <w:rPr>
      <w:b w:val="0"/>
      <w:color w:val="auto"/>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ricityauthority.sharepoint.com/sites/BrandGuide/Templates/Consultation%20paper.dotx" TargetMode="External"/></Relationships>
</file>

<file path=word/theme/theme1.xml><?xml version="1.0" encoding="utf-8"?>
<a:theme xmlns:a="http://schemas.openxmlformats.org/drawingml/2006/main" name="Office Theme">
  <a:themeElements>
    <a:clrScheme name="Electricity Authority">
      <a:dk1>
        <a:sysClr val="windowText" lastClr="000000"/>
      </a:dk1>
      <a:lt1>
        <a:sysClr val="window" lastClr="FFFFFF"/>
      </a:lt1>
      <a:dk2>
        <a:srgbClr val="693370"/>
      </a:dk2>
      <a:lt2>
        <a:srgbClr val="7DD4DE"/>
      </a:lt2>
      <a:accent1>
        <a:srgbClr val="002749"/>
      </a:accent1>
      <a:accent2>
        <a:srgbClr val="AECF93"/>
      </a:accent2>
      <a:accent3>
        <a:srgbClr val="D1D2AB"/>
      </a:accent3>
      <a:accent4>
        <a:srgbClr val="E2E589"/>
      </a:accent4>
      <a:accent5>
        <a:srgbClr val="F2F3E8"/>
      </a:accent5>
      <a:accent6>
        <a:srgbClr val="1A6DAD"/>
      </a:accent6>
      <a:hlink>
        <a:srgbClr val="002749"/>
      </a:hlink>
      <a:folHlink>
        <a:srgbClr val="1A6DAD"/>
      </a:folHlink>
    </a:clrScheme>
    <a:fontScheme name="CC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2023-04-06T00:00:00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1bcf19f-31fe-4d23-91df-9735b4a94041">BRAND-1665154905-37</_dlc_DocId>
    <_dlc_DocIdUrl xmlns="91bcf19f-31fe-4d23-91df-9735b4a94041">
      <Url>https://electricityauthority.sharepoint.com/sites/BrandGuide/_layouts/15/DocIdRedir.aspx?ID=BRAND-1665154905-37</Url>
      <Description>BRAND-1665154905-37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581F855AFA07048967F51F6E377EBC2" ma:contentTypeVersion="4" ma:contentTypeDescription="Create a new document." ma:contentTypeScope="" ma:versionID="bc7fe2879b746659ea5d000bda2b7476">
  <xsd:schema xmlns:xsd="http://www.w3.org/2001/XMLSchema" xmlns:xs="http://www.w3.org/2001/XMLSchema" xmlns:p="http://schemas.microsoft.com/office/2006/metadata/properties" xmlns:ns2="cc372da2-1ff5-4746-8f23-765b2093008f" xmlns:ns3="91bcf19f-31fe-4d23-91df-9735b4a94041" targetNamespace="http://schemas.microsoft.com/office/2006/metadata/properties" ma:root="true" ma:fieldsID="e5bef5cdd05f8e2f935e739b29b67236" ns2:_="" ns3:_="">
    <xsd:import namespace="cc372da2-1ff5-4746-8f23-765b2093008f"/>
    <xsd:import namespace="91bcf19f-31fe-4d23-91df-9735b4a94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72da2-1ff5-4746-8f23-765b20930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cf19f-31fe-4d23-91df-9735b4a94041"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F0CC72-DBFD-4AB3-9263-4706A983A031}">
  <ds:schemaRefs>
    <ds:schemaRef ds:uri="http://schemas.openxmlformats.org/officeDocument/2006/bibliography"/>
  </ds:schemaRefs>
</ds:datastoreItem>
</file>

<file path=customXml/itemProps3.xml><?xml version="1.0" encoding="utf-8"?>
<ds:datastoreItem xmlns:ds="http://schemas.openxmlformats.org/officeDocument/2006/customXml" ds:itemID="{46B29CFB-9380-49AE-8DAE-04A3C5A7A27E}">
  <ds:schemaRefs>
    <ds:schemaRef ds:uri="http://schemas.microsoft.com/sharepoint/v3/contenttype/forms"/>
  </ds:schemaRefs>
</ds:datastoreItem>
</file>

<file path=customXml/itemProps4.xml><?xml version="1.0" encoding="utf-8"?>
<ds:datastoreItem xmlns:ds="http://schemas.openxmlformats.org/officeDocument/2006/customXml" ds:itemID="{6E31CA3A-1C8D-4650-9DFF-5898451C8F69}">
  <ds:schemaRefs>
    <ds:schemaRef ds:uri="http://schemas.microsoft.com/office/2006/metadata/properties"/>
    <ds:schemaRef ds:uri="http://schemas.microsoft.com/office/infopath/2007/PartnerControls"/>
    <ds:schemaRef ds:uri="91bcf19f-31fe-4d23-91df-9735b4a94041"/>
  </ds:schemaRefs>
</ds:datastoreItem>
</file>

<file path=customXml/itemProps5.xml><?xml version="1.0" encoding="utf-8"?>
<ds:datastoreItem xmlns:ds="http://schemas.openxmlformats.org/officeDocument/2006/customXml" ds:itemID="{572D5012-2C61-469A-906F-D0B91D2FFBAB}">
  <ds:schemaRefs>
    <ds:schemaRef ds:uri="http://schemas.microsoft.com/sharepoint/events"/>
  </ds:schemaRefs>
</ds:datastoreItem>
</file>

<file path=customXml/itemProps6.xml><?xml version="1.0" encoding="utf-8"?>
<ds:datastoreItem xmlns:ds="http://schemas.openxmlformats.org/officeDocument/2006/customXml" ds:itemID="{4BFF8F91-C933-4693-B541-A3D27AE3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72da2-1ff5-4746-8f23-765b2093008f"/>
    <ds:schemaRef ds:uri="91bcf19f-31fe-4d23-91df-9735b4a94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Properties xmlns="http://schemas.openxmlformats.org/officeDocument/2006/extended-properties" xmlns:vt="http://schemas.openxmlformats.org/officeDocument/2006/docPropsVTypes">
  <Template>Consultation%20paper</Template>
  <TotalTime>2</TotalTime>
  <Pages>5</Pages>
  <Words>673</Words>
  <Characters>4828</Characters>
  <Application>Microsoft Office Word</Application>
  <DocSecurity>0</DocSecurity>
  <Lines>301</Lines>
  <Paragraphs>261</Paragraphs>
  <ScaleCrop>false</ScaleCrop>
  <HeadingPairs>
    <vt:vector size="2" baseType="variant">
      <vt:variant>
        <vt:lpstr>Title</vt:lpstr>
      </vt:variant>
      <vt:variant>
        <vt:i4>1</vt:i4>
      </vt:variant>
    </vt:vector>
  </HeadingPairs>
  <TitlesOfParts>
    <vt:vector size="1" baseType="lpstr">
      <vt:lpstr>Consultation paper template</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template</dc:title>
  <dc:subject/>
  <dc:creator>Beth Goodwin</dc:creator>
  <cp:keywords/>
  <dc:description/>
  <cp:lastModifiedBy>Beth Goodwin</cp:lastModifiedBy>
  <cp:revision>1</cp:revision>
  <dcterms:created xsi:type="dcterms:W3CDTF">2025-10-13T18:49:00Z</dcterms:created>
  <dcterms:modified xsi:type="dcterms:W3CDTF">2025-10-13T18:51:00Z</dcterms:modified>
  <cp:category>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0x010100F581F855AFA07048967F51F6E377EBC2</vt:lpwstr>
  </property>
  <property fmtid="{D5CDD505-2E9C-101B-9397-08002B2CF9AE}" pid="3" name="MediaServiceImageTags">
    <vt:lpwstr/>
  </property>
  <property fmtid="{D5CDD505-2E9C-101B-9397-08002B2CF9AE}" pid="4" name="Order">
    <vt:r8>330100</vt:r8>
  </property>
  <property fmtid="{D5CDD505-2E9C-101B-9397-08002B2CF9AE}" pid="5" name="xd_Signature">
    <vt:bool>false</vt:bool>
  </property>
  <property fmtid="{D5CDD505-2E9C-101B-9397-08002B2CF9AE}" pid="6" name="xd_ProgID">
    <vt:lpwstr/>
  </property>
  <property fmtid="{D5CDD505-2E9C-101B-9397-08002B2CF9AE}" pid="7" name="MigratedDocNum">
    <vt:r8>1404378</vt:r8>
  </property>
  <property fmtid="{D5CDD505-2E9C-101B-9397-08002B2CF9AE}" pid="8" name="MigratedFileID">
    <vt:lpwstr>ORGS_05_017</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dlc_DocIdItemGuid">
    <vt:lpwstr>653248b8-d070-44cf-a233-9ae855e779a1</vt:lpwstr>
  </property>
  <property fmtid="{D5CDD505-2E9C-101B-9397-08002B2CF9AE}" pid="14" name="ClassificationContentMarkingFooterShapeIds">
    <vt:lpwstr>5cc4db7b,5bafb0a2,2a83890d</vt:lpwstr>
  </property>
  <property fmtid="{D5CDD505-2E9C-101B-9397-08002B2CF9AE}" pid="15" name="ClassificationContentMarkingFooterFontProps">
    <vt:lpwstr>#000000,10,Calibri</vt:lpwstr>
  </property>
  <property fmtid="{D5CDD505-2E9C-101B-9397-08002B2CF9AE}" pid="16" name="ClassificationContentMarkingFooterText">
    <vt:lpwstr>IN-CONFIDENCE: ORGANISATION</vt:lpwstr>
  </property>
  <property fmtid="{D5CDD505-2E9C-101B-9397-08002B2CF9AE}" pid="17" name="MSIP_Label_729a19d4-3005-49f1-9d8c-8924f528f29b_Enabled">
    <vt:lpwstr>true</vt:lpwstr>
  </property>
  <property fmtid="{D5CDD505-2E9C-101B-9397-08002B2CF9AE}" pid="18" name="MSIP_Label_729a19d4-3005-49f1-9d8c-8924f528f29b_SetDate">
    <vt:lpwstr>2024-11-22T00:24:27Z</vt:lpwstr>
  </property>
  <property fmtid="{D5CDD505-2E9C-101B-9397-08002B2CF9AE}" pid="19" name="MSIP_Label_729a19d4-3005-49f1-9d8c-8924f528f29b_Method">
    <vt:lpwstr>Standard</vt:lpwstr>
  </property>
  <property fmtid="{D5CDD505-2E9C-101B-9397-08002B2CF9AE}" pid="20" name="MSIP_Label_729a19d4-3005-49f1-9d8c-8924f528f29b_Name">
    <vt:lpwstr>Organisation</vt:lpwstr>
  </property>
  <property fmtid="{D5CDD505-2E9C-101B-9397-08002B2CF9AE}" pid="21" name="MSIP_Label_729a19d4-3005-49f1-9d8c-8924f528f29b_SiteId">
    <vt:lpwstr>01ce6efc-7935-414f-b831-2b1d356f92e4</vt:lpwstr>
  </property>
  <property fmtid="{D5CDD505-2E9C-101B-9397-08002B2CF9AE}" pid="22" name="MSIP_Label_729a19d4-3005-49f1-9d8c-8924f528f29b_ActionId">
    <vt:lpwstr>eab8e661-8663-4021-9924-caa1ea00ae56</vt:lpwstr>
  </property>
  <property fmtid="{D5CDD505-2E9C-101B-9397-08002B2CF9AE}" pid="23" name="MSIP_Label_729a19d4-3005-49f1-9d8c-8924f528f29b_ContentBits">
    <vt:lpwstr>2</vt:lpwstr>
  </property>
</Properties>
</file>